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4B55B" w14:textId="77777777" w:rsidR="00D0786C" w:rsidRDefault="00372E28">
      <w:pPr>
        <w:pStyle w:val="Heading1"/>
      </w:pPr>
      <w:r w:rsidRPr="00902EEE">
        <w:t xml:space="preserve">A program-level view of the use of </w:t>
      </w:r>
      <w:r w:rsidR="00A9224F" w:rsidRPr="00902EEE">
        <w:t xml:space="preserve">Mahara </w:t>
      </w:r>
      <w:r w:rsidRPr="00902EEE">
        <w:t xml:space="preserve">as an </w:t>
      </w:r>
      <w:r w:rsidR="00A9224F" w:rsidRPr="00902EEE">
        <w:t>ePort</w:t>
      </w:r>
      <w:r w:rsidRPr="00902EEE">
        <w:t>folio</w:t>
      </w:r>
    </w:p>
    <w:p w14:paraId="2EEE42B2" w14:textId="77777777" w:rsidR="001908CC" w:rsidRDefault="001908CC">
      <w:pPr>
        <w:pStyle w:val="Heading2"/>
      </w:pPr>
    </w:p>
    <w:p w14:paraId="058169F4" w14:textId="77777777" w:rsidR="00D0786C" w:rsidRPr="001908CC" w:rsidRDefault="00632FF8" w:rsidP="001908CC">
      <w:pPr>
        <w:pStyle w:val="Heading2"/>
        <w:spacing w:line="276" w:lineRule="auto"/>
        <w:rPr>
          <w:b w:val="0"/>
          <w:sz w:val="24"/>
          <w:szCs w:val="24"/>
        </w:rPr>
      </w:pPr>
      <w:r w:rsidRPr="001908CC">
        <w:rPr>
          <w:sz w:val="24"/>
          <w:szCs w:val="24"/>
        </w:rPr>
        <w:t>Introduction</w:t>
      </w:r>
    </w:p>
    <w:p w14:paraId="643218CB" w14:textId="106F478F" w:rsidR="009965AA" w:rsidRDefault="007F2014" w:rsidP="001908CC">
      <w:pPr>
        <w:pStyle w:val="NoSpacing"/>
        <w:spacing w:line="276" w:lineRule="auto"/>
      </w:pPr>
      <w:r w:rsidRPr="00723EF8">
        <w:t xml:space="preserve">This </w:t>
      </w:r>
      <w:r w:rsidR="00372E28">
        <w:t xml:space="preserve">document provides a hypothetical scenario which outlines how </w:t>
      </w:r>
      <w:r w:rsidR="00CA7F84">
        <w:t>Mahara</w:t>
      </w:r>
      <w:r w:rsidR="00812A97">
        <w:t>, the University of South Australia’s</w:t>
      </w:r>
      <w:r w:rsidR="00CA7F84">
        <w:t xml:space="preserve"> ePortfolio (eP)</w:t>
      </w:r>
      <w:r w:rsidR="008B085D">
        <w:t>,</w:t>
      </w:r>
      <w:r w:rsidR="00CA7F84">
        <w:t xml:space="preserve"> c</w:t>
      </w:r>
      <w:r w:rsidR="006E0DC2">
        <w:t>ould</w:t>
      </w:r>
      <w:r w:rsidR="00CA7F84">
        <w:t xml:space="preserve"> be</w:t>
      </w:r>
      <w:r w:rsidR="00372E28">
        <w:t xml:space="preserve"> used </w:t>
      </w:r>
      <w:r w:rsidR="008B085D">
        <w:t xml:space="preserve">in a developmental and engaging way </w:t>
      </w:r>
      <w:r w:rsidR="00CA7F84">
        <w:t>across a program of study to help learners demonstrate achievement related to intended learning outcomes</w:t>
      </w:r>
      <w:r w:rsidR="008B085D">
        <w:t>.</w:t>
      </w:r>
      <w:r w:rsidR="00243DE6">
        <w:t xml:space="preserve"> </w:t>
      </w:r>
    </w:p>
    <w:p w14:paraId="79C95FC0" w14:textId="77777777" w:rsidR="009965AA" w:rsidRDefault="009965AA" w:rsidP="001908CC">
      <w:pPr>
        <w:pStyle w:val="NoSpacing"/>
        <w:spacing w:line="276" w:lineRule="auto"/>
      </w:pPr>
    </w:p>
    <w:p w14:paraId="00D62E13" w14:textId="7CD12AA2" w:rsidR="00CA7F84" w:rsidRDefault="00E6044D" w:rsidP="001908CC">
      <w:pPr>
        <w:pStyle w:val="NoSpacing"/>
        <w:spacing w:line="276" w:lineRule="auto"/>
      </w:pPr>
      <w:r>
        <w:t>As noted in the supplementary report of the Australian ePortfolio Project (2010)</w:t>
      </w:r>
      <w:r w:rsidR="006E0DC2">
        <w:t>,</w:t>
      </w:r>
      <w:r w:rsidRPr="00E6044D">
        <w:t xml:space="preserve"> ‘</w:t>
      </w:r>
      <w:r w:rsidRPr="00E6044D">
        <w:rPr>
          <w:rFonts w:cs="Palatino Linotype"/>
          <w:color w:val="000000"/>
          <w:lang w:val="en-US"/>
        </w:rPr>
        <w:t>The e</w:t>
      </w:r>
      <w:r w:rsidR="006E0DC2">
        <w:rPr>
          <w:rFonts w:cs="Palatino Linotype"/>
          <w:color w:val="000000"/>
          <w:lang w:val="en-US"/>
        </w:rPr>
        <w:t>xtent of ePortfolio practice has</w:t>
      </w:r>
      <w:r w:rsidRPr="00E6044D">
        <w:rPr>
          <w:rFonts w:cs="Palatino Linotype"/>
          <w:color w:val="000000"/>
          <w:lang w:val="en-US"/>
        </w:rPr>
        <w:t xml:space="preserve"> moved away from their use mainly in single units of study towards more programmatic implementation in undergraduate student learning</w:t>
      </w:r>
      <w:r w:rsidR="006E0DC2">
        <w:rPr>
          <w:rFonts w:cs="Palatino Linotype"/>
          <w:color w:val="000000"/>
          <w:lang w:val="en-US"/>
        </w:rPr>
        <w:t>’</w:t>
      </w:r>
      <w:r w:rsidR="009965AA">
        <w:rPr>
          <w:rFonts w:cs="Palatino Linotype"/>
          <w:color w:val="000000"/>
          <w:lang w:val="en-US"/>
        </w:rPr>
        <w:t xml:space="preserve"> and as such </w:t>
      </w:r>
      <w:r w:rsidR="000A0447">
        <w:rPr>
          <w:rFonts w:cs="Palatino Linotype"/>
          <w:color w:val="000000"/>
          <w:lang w:val="en-US"/>
        </w:rPr>
        <w:t xml:space="preserve">this </w:t>
      </w:r>
      <w:r w:rsidR="009965AA">
        <w:rPr>
          <w:rFonts w:cs="Palatino Linotype"/>
          <w:color w:val="000000"/>
          <w:lang w:val="en-US"/>
        </w:rPr>
        <w:t xml:space="preserve">matrix </w:t>
      </w:r>
      <w:r w:rsidR="009965AA">
        <w:t>recognises that for an eP to be most effective, a whole-o</w:t>
      </w:r>
      <w:r w:rsidR="00FC31C4">
        <w:t>f-program approach is desirable</w:t>
      </w:r>
      <w:r w:rsidR="000A0447">
        <w:t>.</w:t>
      </w:r>
      <w:r w:rsidR="00FC31C4">
        <w:t xml:space="preserve"> </w:t>
      </w:r>
    </w:p>
    <w:p w14:paraId="5F08369F" w14:textId="77777777" w:rsidR="009965AA" w:rsidRDefault="009965AA" w:rsidP="001908CC">
      <w:pPr>
        <w:pStyle w:val="NoSpacing"/>
        <w:spacing w:line="276" w:lineRule="auto"/>
      </w:pPr>
    </w:p>
    <w:p w14:paraId="5744E4F2" w14:textId="77777777" w:rsidR="00CA7F84" w:rsidRPr="001908CC" w:rsidRDefault="00CA7F84" w:rsidP="001908CC">
      <w:pPr>
        <w:pStyle w:val="Heading2"/>
        <w:spacing w:line="276" w:lineRule="auto"/>
        <w:rPr>
          <w:sz w:val="24"/>
          <w:szCs w:val="24"/>
        </w:rPr>
      </w:pPr>
      <w:r w:rsidRPr="001908CC">
        <w:rPr>
          <w:sz w:val="24"/>
          <w:szCs w:val="24"/>
        </w:rPr>
        <w:t>Principles of ePortfolio Usage</w:t>
      </w:r>
    </w:p>
    <w:p w14:paraId="09100919" w14:textId="77777777" w:rsidR="00CA7F84" w:rsidRDefault="00CA7F84" w:rsidP="001908CC">
      <w:pPr>
        <w:pStyle w:val="NoSpacing"/>
        <w:spacing w:line="276" w:lineRule="auto"/>
      </w:pPr>
      <w:r>
        <w:t xml:space="preserve">The scenario </w:t>
      </w:r>
      <w:r w:rsidR="008B085D">
        <w:t xml:space="preserve">presented </w:t>
      </w:r>
      <w:r w:rsidR="0066402B">
        <w:t xml:space="preserve">in this document </w:t>
      </w:r>
      <w:r w:rsidR="00372E28">
        <w:t>is based on</w:t>
      </w:r>
      <w:r w:rsidR="007F2014" w:rsidRPr="00723EF8">
        <w:t xml:space="preserve"> </w:t>
      </w:r>
      <w:r w:rsidR="00372E28">
        <w:t xml:space="preserve">the </w:t>
      </w:r>
      <w:r w:rsidR="007F2014" w:rsidRPr="00723EF8">
        <w:t>following p</w:t>
      </w:r>
      <w:r w:rsidR="00372E28">
        <w:t>rinciples related to eP usage</w:t>
      </w:r>
      <w:r>
        <w:t>:</w:t>
      </w:r>
    </w:p>
    <w:p w14:paraId="4739B28A" w14:textId="77777777" w:rsidR="00C85649" w:rsidRDefault="00C85649" w:rsidP="001908CC">
      <w:pPr>
        <w:pStyle w:val="NoSpacing"/>
        <w:spacing w:line="276" w:lineRule="auto"/>
      </w:pPr>
    </w:p>
    <w:p w14:paraId="0B83234A" w14:textId="77777777" w:rsidR="00C85649" w:rsidRDefault="00372E28" w:rsidP="00C85649">
      <w:pPr>
        <w:pStyle w:val="NoSpacing"/>
        <w:numPr>
          <w:ilvl w:val="0"/>
          <w:numId w:val="9"/>
        </w:numPr>
        <w:spacing w:line="276" w:lineRule="auto"/>
      </w:pPr>
      <w:r>
        <w:t>T</w:t>
      </w:r>
      <w:r w:rsidR="007F2014" w:rsidRPr="00723EF8">
        <w:t>he eP is s</w:t>
      </w:r>
      <w:r>
        <w:t>tudent-owned and</w:t>
      </w:r>
      <w:r w:rsidR="00F95FBC">
        <w:t xml:space="preserve"> driven,</w:t>
      </w:r>
      <w:r w:rsidR="007F2014" w:rsidRPr="00723EF8">
        <w:t xml:space="preserve"> </w:t>
      </w:r>
      <w:r w:rsidR="00F95FBC">
        <w:t>h</w:t>
      </w:r>
      <w:r w:rsidR="00FB18C1" w:rsidRPr="00723EF8">
        <w:t xml:space="preserve">ence it is important to foster a sense of personal ownership between the student and their </w:t>
      </w:r>
      <w:r w:rsidR="00835F36" w:rsidRPr="00723EF8">
        <w:t>eP</w:t>
      </w:r>
      <w:r>
        <w:t>, and</w:t>
      </w:r>
    </w:p>
    <w:p w14:paraId="40ED887A" w14:textId="77777777" w:rsidR="00CA7F84" w:rsidRDefault="00372E28" w:rsidP="00C85649">
      <w:pPr>
        <w:pStyle w:val="NoSpacing"/>
        <w:numPr>
          <w:ilvl w:val="0"/>
          <w:numId w:val="9"/>
        </w:numPr>
        <w:spacing w:line="276" w:lineRule="auto"/>
      </w:pPr>
      <w:r>
        <w:t>T</w:t>
      </w:r>
      <w:r w:rsidR="00835F36" w:rsidRPr="00723EF8">
        <w:t xml:space="preserve">he eP will </w:t>
      </w:r>
      <w:r w:rsidR="00C87640" w:rsidRPr="00723EF8">
        <w:t>represent</w:t>
      </w:r>
      <w:r w:rsidR="00835F36" w:rsidRPr="00723EF8">
        <w:t xml:space="preserve"> a </w:t>
      </w:r>
      <w:r w:rsidR="004A5640">
        <w:t>student’s development</w:t>
      </w:r>
      <w:r w:rsidR="00835F36" w:rsidRPr="00723EF8">
        <w:t xml:space="preserve"> over </w:t>
      </w:r>
      <w:r w:rsidR="00C87640" w:rsidRPr="00723EF8">
        <w:t>time</w:t>
      </w:r>
      <w:r w:rsidR="00835F36" w:rsidRPr="00723EF8">
        <w:t>.</w:t>
      </w:r>
    </w:p>
    <w:p w14:paraId="73998BCE" w14:textId="77777777" w:rsidR="004A5640" w:rsidRDefault="00CA7F84" w:rsidP="001908CC">
      <w:pPr>
        <w:pStyle w:val="NoSpacing"/>
        <w:spacing w:line="276" w:lineRule="auto"/>
      </w:pPr>
      <w:r>
        <w:br/>
      </w:r>
      <w:r w:rsidR="00E535C3">
        <w:t>Despite the notion of the eP as being a constant ‘work in progress’, it is envisaged that at the completion of the program the student will have an eP ready for present</w:t>
      </w:r>
      <w:r w:rsidR="004A5640">
        <w:t>ation for</w:t>
      </w:r>
      <w:r w:rsidR="00C85649">
        <w:t xml:space="preserve"> </w:t>
      </w:r>
      <w:r w:rsidR="0066402B">
        <w:t xml:space="preserve">formative and summative </w:t>
      </w:r>
      <w:r w:rsidR="00C85649">
        <w:t xml:space="preserve">assessment </w:t>
      </w:r>
      <w:r w:rsidR="0066402B">
        <w:t>and</w:t>
      </w:r>
      <w:r w:rsidR="00C85649">
        <w:t xml:space="preserve"> to</w:t>
      </w:r>
      <w:r w:rsidR="004A5640">
        <w:t xml:space="preserve"> prospective employer</w:t>
      </w:r>
      <w:r w:rsidR="00C85649">
        <w:t>s</w:t>
      </w:r>
      <w:r w:rsidR="004A5640">
        <w:t xml:space="preserve">. </w:t>
      </w:r>
      <w:r w:rsidR="00E57540" w:rsidRPr="00E57540">
        <w:t>Drawing from Barrett</w:t>
      </w:r>
      <w:r w:rsidR="00E57540">
        <w:t xml:space="preserve"> (2009)</w:t>
      </w:r>
      <w:r w:rsidR="007E2E4E">
        <w:t>, th</w:t>
      </w:r>
      <w:r w:rsidR="0066402B">
        <w:t>e</w:t>
      </w:r>
      <w:r w:rsidR="007E2E4E">
        <w:t xml:space="preserve"> matrix </w:t>
      </w:r>
      <w:r w:rsidR="0066402B">
        <w:t xml:space="preserve">in this document </w:t>
      </w:r>
      <w:r w:rsidR="00E57540" w:rsidRPr="00E57540">
        <w:t xml:space="preserve">is loosely organised around her </w:t>
      </w:r>
      <w:r w:rsidR="004A5640">
        <w:t xml:space="preserve">three </w:t>
      </w:r>
      <w:r w:rsidR="008B085D">
        <w:t xml:space="preserve">types </w:t>
      </w:r>
      <w:r w:rsidR="00C85649">
        <w:t xml:space="preserve">of eP usage, although </w:t>
      </w:r>
      <w:r w:rsidR="004A5640">
        <w:t xml:space="preserve">there will necessarily be overlap between </w:t>
      </w:r>
      <w:r w:rsidR="008B085D">
        <w:t>them</w:t>
      </w:r>
      <w:r w:rsidR="004A5640">
        <w:t xml:space="preserve"> as a student progresses through their program.</w:t>
      </w:r>
    </w:p>
    <w:p w14:paraId="649555B8" w14:textId="77777777" w:rsidR="004A5640" w:rsidRDefault="004A5640" w:rsidP="001908CC">
      <w:pPr>
        <w:pStyle w:val="NoSpacing"/>
        <w:spacing w:line="276" w:lineRule="auto"/>
      </w:pPr>
    </w:p>
    <w:p w14:paraId="500665A9" w14:textId="77777777" w:rsidR="004A5640" w:rsidRDefault="007E2E4E" w:rsidP="001908CC">
      <w:pPr>
        <w:pStyle w:val="NoSpacing"/>
        <w:spacing w:line="276" w:lineRule="auto"/>
        <w:ind w:left="720"/>
      </w:pPr>
      <w:r w:rsidRPr="00863887">
        <w:t xml:space="preserve">Level </w:t>
      </w:r>
      <w:r w:rsidR="00863887" w:rsidRPr="00863887">
        <w:t xml:space="preserve">1 – </w:t>
      </w:r>
      <w:r w:rsidR="004A5640">
        <w:t>Collection and Archive</w:t>
      </w:r>
    </w:p>
    <w:p w14:paraId="2076DADD" w14:textId="77777777" w:rsidR="004A5640" w:rsidRDefault="007E2E4E" w:rsidP="001908CC">
      <w:pPr>
        <w:pStyle w:val="NoSpacing"/>
        <w:spacing w:line="276" w:lineRule="auto"/>
        <w:ind w:left="720"/>
      </w:pPr>
      <w:r w:rsidRPr="00863887">
        <w:t xml:space="preserve">Level 2 </w:t>
      </w:r>
      <w:r w:rsidR="00863887" w:rsidRPr="00863887">
        <w:t xml:space="preserve">– </w:t>
      </w:r>
      <w:r w:rsidR="004A5640">
        <w:t>Reflection and Feedback</w:t>
      </w:r>
    </w:p>
    <w:p w14:paraId="0AB71B4B" w14:textId="77777777" w:rsidR="004A5640" w:rsidRDefault="007E2E4E" w:rsidP="001908CC">
      <w:pPr>
        <w:pStyle w:val="NoSpacing"/>
        <w:spacing w:line="276" w:lineRule="auto"/>
        <w:ind w:left="720"/>
      </w:pPr>
      <w:r w:rsidRPr="00863887">
        <w:t>L</w:t>
      </w:r>
      <w:r w:rsidR="00863887" w:rsidRPr="00863887">
        <w:t xml:space="preserve">evel 3 – </w:t>
      </w:r>
      <w:r w:rsidRPr="00863887">
        <w:t>Selection and Presentation</w:t>
      </w:r>
    </w:p>
    <w:p w14:paraId="2D9EB8E8" w14:textId="77777777" w:rsidR="004A5640" w:rsidRDefault="004A5640" w:rsidP="001908CC">
      <w:pPr>
        <w:pStyle w:val="NoSpacing"/>
        <w:spacing w:line="276" w:lineRule="auto"/>
      </w:pPr>
    </w:p>
    <w:p w14:paraId="3D2859A6" w14:textId="77777777" w:rsidR="00D0786C" w:rsidRDefault="005648C7" w:rsidP="001908CC">
      <w:pPr>
        <w:pStyle w:val="Heading2"/>
        <w:spacing w:line="276" w:lineRule="auto"/>
        <w:rPr>
          <w:sz w:val="24"/>
          <w:szCs w:val="24"/>
        </w:rPr>
      </w:pPr>
      <w:r w:rsidRPr="001908CC">
        <w:rPr>
          <w:sz w:val="24"/>
          <w:szCs w:val="24"/>
        </w:rPr>
        <w:t xml:space="preserve">Foundational </w:t>
      </w:r>
      <w:r w:rsidR="000C600C" w:rsidRPr="001908CC">
        <w:rPr>
          <w:sz w:val="24"/>
          <w:szCs w:val="24"/>
        </w:rPr>
        <w:t>eP</w:t>
      </w:r>
      <w:r w:rsidR="00CA7F84" w:rsidRPr="001908CC">
        <w:rPr>
          <w:sz w:val="24"/>
          <w:szCs w:val="24"/>
        </w:rPr>
        <w:t>ortfolio</w:t>
      </w:r>
      <w:r w:rsidR="000C600C" w:rsidRPr="001908CC">
        <w:rPr>
          <w:sz w:val="24"/>
          <w:szCs w:val="24"/>
        </w:rPr>
        <w:t xml:space="preserve"> </w:t>
      </w:r>
      <w:r w:rsidR="00C75307" w:rsidRPr="001908CC">
        <w:rPr>
          <w:sz w:val="24"/>
          <w:szCs w:val="24"/>
        </w:rPr>
        <w:t>functions</w:t>
      </w:r>
    </w:p>
    <w:p w14:paraId="1D01FE6C" w14:textId="2C93195B" w:rsidR="00ED466A" w:rsidRPr="00ED466A" w:rsidRDefault="00EB2A8F" w:rsidP="00ED466A">
      <w:r>
        <w:t xml:space="preserve">An ePortfolio can </w:t>
      </w:r>
      <w:r w:rsidR="00243DE6">
        <w:t>operate</w:t>
      </w:r>
      <w:r>
        <w:t xml:space="preserve"> in many differing ways offering an enormous range</w:t>
      </w:r>
      <w:r w:rsidR="00243DE6">
        <w:t xml:space="preserve"> of potential functionality.</w:t>
      </w:r>
      <w:r>
        <w:t xml:space="preserve"> </w:t>
      </w:r>
      <w:r w:rsidR="00683E3D">
        <w:t xml:space="preserve">As pointed out by Smith and Tillema (2003) </w:t>
      </w:r>
      <w:r w:rsidR="005C0AE4">
        <w:t>ePortfolio</w:t>
      </w:r>
      <w:r w:rsidR="00FD3E05">
        <w:t>s</w:t>
      </w:r>
      <w:r w:rsidR="005C0AE4">
        <w:t xml:space="preserve"> ‘can include many interdependent functional activities’, </w:t>
      </w:r>
      <w:r w:rsidR="00812A97">
        <w:t xml:space="preserve">and some of these activities are highlighted below. </w:t>
      </w:r>
    </w:p>
    <w:p w14:paraId="50040614" w14:textId="77777777" w:rsidR="00EA0C62" w:rsidRPr="00EA0C62" w:rsidRDefault="000C600C" w:rsidP="001908CC">
      <w:pPr>
        <w:pStyle w:val="NoSpacing"/>
        <w:numPr>
          <w:ilvl w:val="0"/>
          <w:numId w:val="2"/>
        </w:numPr>
        <w:spacing w:line="276" w:lineRule="auto"/>
      </w:pPr>
      <w:r w:rsidRPr="00EA0C62">
        <w:t>Reflective practice</w:t>
      </w:r>
    </w:p>
    <w:p w14:paraId="4569FFC3" w14:textId="02BB1817" w:rsidR="00EA0C62" w:rsidRPr="00EA0C62" w:rsidRDefault="000C600C" w:rsidP="001908CC">
      <w:pPr>
        <w:pStyle w:val="NoSpacing"/>
        <w:numPr>
          <w:ilvl w:val="0"/>
          <w:numId w:val="2"/>
        </w:numPr>
        <w:spacing w:line="276" w:lineRule="auto"/>
      </w:pPr>
      <w:r w:rsidRPr="00EA0C62">
        <w:t>Collection</w:t>
      </w:r>
      <w:r w:rsidR="008B085D">
        <w:t>/</w:t>
      </w:r>
      <w:r w:rsidR="008B085D" w:rsidRPr="00EA0C62">
        <w:t>Presentation</w:t>
      </w:r>
      <w:r w:rsidRPr="00EA0C62">
        <w:t xml:space="preserve"> of </w:t>
      </w:r>
      <w:r w:rsidR="008B085D">
        <w:t xml:space="preserve">graduate qualities and </w:t>
      </w:r>
      <w:r w:rsidRPr="00EA0C62">
        <w:t>professional competencies</w:t>
      </w:r>
    </w:p>
    <w:p w14:paraId="0E85B528" w14:textId="77777777" w:rsidR="00EA0C62" w:rsidRPr="00EA0C62" w:rsidRDefault="004A1AC3" w:rsidP="001908CC">
      <w:pPr>
        <w:pStyle w:val="NoSpacing"/>
        <w:numPr>
          <w:ilvl w:val="0"/>
          <w:numId w:val="2"/>
        </w:numPr>
        <w:spacing w:line="276" w:lineRule="auto"/>
      </w:pPr>
      <w:r w:rsidRPr="00EA0C62">
        <w:t>Group</w:t>
      </w:r>
      <w:r w:rsidR="00E45E7F" w:rsidRPr="00EA0C62">
        <w:t xml:space="preserve"> work</w:t>
      </w:r>
      <w:r w:rsidR="00F6439F">
        <w:t>/collaboration</w:t>
      </w:r>
    </w:p>
    <w:p w14:paraId="3A8386CA" w14:textId="77777777" w:rsidR="000C600C" w:rsidRDefault="00E45E7F" w:rsidP="001908CC">
      <w:pPr>
        <w:pStyle w:val="NoSpacing"/>
        <w:numPr>
          <w:ilvl w:val="0"/>
          <w:numId w:val="2"/>
        </w:numPr>
        <w:spacing w:line="276" w:lineRule="auto"/>
      </w:pPr>
      <w:r w:rsidRPr="00EA0C62">
        <w:t>Development of academic and digital literacies</w:t>
      </w:r>
    </w:p>
    <w:p w14:paraId="62D6C341" w14:textId="77777777" w:rsidR="00567ADC" w:rsidRDefault="00567ADC" w:rsidP="001908CC">
      <w:pPr>
        <w:pStyle w:val="NoSpacing"/>
        <w:numPr>
          <w:ilvl w:val="0"/>
          <w:numId w:val="2"/>
        </w:numPr>
        <w:spacing w:line="276" w:lineRule="auto"/>
      </w:pPr>
      <w:r>
        <w:t>Interconnectedness</w:t>
      </w:r>
    </w:p>
    <w:p w14:paraId="098F5396" w14:textId="77777777" w:rsidR="00FA5E82" w:rsidRDefault="00567ADC" w:rsidP="00FA5E82">
      <w:pPr>
        <w:pStyle w:val="NoSpacing"/>
        <w:numPr>
          <w:ilvl w:val="0"/>
          <w:numId w:val="2"/>
        </w:numPr>
        <w:spacing w:line="276" w:lineRule="auto"/>
      </w:pPr>
      <w:r>
        <w:t>Critical thinking</w:t>
      </w:r>
    </w:p>
    <w:p w14:paraId="758DEC16" w14:textId="5A8662C1" w:rsidR="00B54E67" w:rsidRDefault="004A5640" w:rsidP="00FA5E82">
      <w:pPr>
        <w:pStyle w:val="NoSpacing"/>
        <w:spacing w:line="276" w:lineRule="auto"/>
        <w:rPr>
          <w:sz w:val="24"/>
          <w:szCs w:val="24"/>
        </w:rPr>
      </w:pPr>
      <w:r w:rsidRPr="00FA5E82">
        <w:rPr>
          <w:b/>
          <w:sz w:val="24"/>
          <w:szCs w:val="24"/>
        </w:rPr>
        <w:lastRenderedPageBreak/>
        <w:t>Sample p</w:t>
      </w:r>
      <w:r w:rsidR="00BF45C4" w:rsidRPr="00FA5E82">
        <w:rPr>
          <w:b/>
          <w:sz w:val="24"/>
          <w:szCs w:val="24"/>
        </w:rPr>
        <w:t>rogram</w:t>
      </w:r>
      <w:r w:rsidR="00BF45C4" w:rsidRPr="00FA5E82">
        <w:rPr>
          <w:sz w:val="24"/>
          <w:szCs w:val="24"/>
        </w:rPr>
        <w:t xml:space="preserve">: </w:t>
      </w:r>
      <w:r w:rsidR="00EC0E74" w:rsidRPr="00FA5E82">
        <w:rPr>
          <w:sz w:val="24"/>
          <w:szCs w:val="24"/>
        </w:rPr>
        <w:t>MBMC (Bachelor of Communication: Media and Culture)</w:t>
      </w:r>
    </w:p>
    <w:p w14:paraId="2D124A09" w14:textId="77777777" w:rsidR="00560ED8" w:rsidRPr="00FA5E82" w:rsidRDefault="00560ED8" w:rsidP="00FA5E82">
      <w:pPr>
        <w:pStyle w:val="NoSpacing"/>
        <w:spacing w:line="276" w:lineRule="auto"/>
      </w:pPr>
    </w:p>
    <w:p w14:paraId="008B1397" w14:textId="77777777" w:rsidR="00C85649" w:rsidRPr="00FA5E82" w:rsidRDefault="00C85649" w:rsidP="00C85649">
      <w:pPr>
        <w:pStyle w:val="NoSpacing"/>
      </w:pPr>
      <w:r w:rsidRPr="00FA5E82">
        <w:rPr>
          <w:b/>
        </w:rPr>
        <w:t>Table 1:</w:t>
      </w:r>
      <w:r w:rsidRPr="00FA5E82">
        <w:t xml:space="preserve"> Snapshot of courses by study period and year level with suggestions of where    </w:t>
      </w:r>
    </w:p>
    <w:p w14:paraId="727B4166" w14:textId="3A437401" w:rsidR="00C85649" w:rsidRPr="00FA5E82" w:rsidRDefault="00C85649" w:rsidP="00C85649">
      <w:pPr>
        <w:pStyle w:val="NoSpacing"/>
      </w:pPr>
      <w:r w:rsidRPr="00FA5E82">
        <w:t>Mahara can be incorporated in learning and teaching arrangements</w:t>
      </w:r>
      <w:r w:rsidR="00FA5E82" w:rsidRPr="00FA5E82">
        <w:t xml:space="preserve"> provides an overview of </w:t>
      </w:r>
      <w:r w:rsidR="00FA5E82">
        <w:t xml:space="preserve">a </w:t>
      </w:r>
      <w:r w:rsidR="00FA5E82" w:rsidRPr="00FA5E82">
        <w:t>whole-of-program approach to utilising Mahara as an ePortfolio. An expanded description for each course can be found in the following pages.</w:t>
      </w:r>
    </w:p>
    <w:p w14:paraId="7D88D313" w14:textId="77777777" w:rsidR="00C85649" w:rsidRPr="00C85649" w:rsidRDefault="00C85649" w:rsidP="00C85649">
      <w:pPr>
        <w:pStyle w:val="NoSpacing"/>
        <w:rPr>
          <w:b/>
          <w:sz w:val="16"/>
          <w:szCs w:val="16"/>
        </w:rPr>
      </w:pPr>
    </w:p>
    <w:tbl>
      <w:tblPr>
        <w:tblStyle w:val="TableGrid"/>
        <w:tblW w:w="0" w:type="auto"/>
        <w:tblLook w:val="04A0" w:firstRow="1" w:lastRow="0" w:firstColumn="1" w:lastColumn="0" w:noHBand="0" w:noVBand="1"/>
      </w:tblPr>
      <w:tblGrid>
        <w:gridCol w:w="1239"/>
        <w:gridCol w:w="1963"/>
        <w:gridCol w:w="1834"/>
        <w:gridCol w:w="2449"/>
        <w:gridCol w:w="2091"/>
      </w:tblGrid>
      <w:tr w:rsidR="004A5640" w:rsidRPr="00CE0641" w14:paraId="56831D5A" w14:textId="77777777" w:rsidTr="00421562">
        <w:tc>
          <w:tcPr>
            <w:tcW w:w="1239" w:type="dxa"/>
            <w:shd w:val="clear" w:color="auto" w:fill="DBE5F1" w:themeFill="accent1" w:themeFillTint="33"/>
          </w:tcPr>
          <w:p w14:paraId="05167060" w14:textId="77777777" w:rsidR="004A5640" w:rsidRPr="00EB2435" w:rsidRDefault="004A5640">
            <w:pPr>
              <w:rPr>
                <w:b/>
                <w:sz w:val="19"/>
                <w:szCs w:val="19"/>
              </w:rPr>
            </w:pPr>
            <w:r w:rsidRPr="00EB2435">
              <w:rPr>
                <w:b/>
                <w:sz w:val="19"/>
                <w:szCs w:val="19"/>
              </w:rPr>
              <w:t>Year 1 – SP2</w:t>
            </w:r>
          </w:p>
          <w:p w14:paraId="48E1B8B7" w14:textId="77777777" w:rsidR="00CE0641" w:rsidRPr="00EB2435" w:rsidRDefault="00CE0641" w:rsidP="00CE0641">
            <w:pPr>
              <w:rPr>
                <w:b/>
                <w:sz w:val="19"/>
                <w:szCs w:val="19"/>
              </w:rPr>
            </w:pPr>
            <w:r w:rsidRPr="00EB2435">
              <w:rPr>
                <w:b/>
                <w:sz w:val="19"/>
                <w:szCs w:val="19"/>
              </w:rPr>
              <w:t>Collection &amp; Archive</w:t>
            </w:r>
          </w:p>
        </w:tc>
        <w:tc>
          <w:tcPr>
            <w:tcW w:w="1963" w:type="dxa"/>
          </w:tcPr>
          <w:p w14:paraId="167813E8" w14:textId="77777777" w:rsidR="004A5640" w:rsidRPr="00EB2435" w:rsidRDefault="004A5640">
            <w:pPr>
              <w:rPr>
                <w:b/>
                <w:sz w:val="19"/>
                <w:szCs w:val="19"/>
              </w:rPr>
            </w:pPr>
            <w:r w:rsidRPr="00EB2435">
              <w:rPr>
                <w:sz w:val="19"/>
                <w:szCs w:val="19"/>
              </w:rPr>
              <w:t>Introduction to Communication and Cultural Studies</w:t>
            </w:r>
          </w:p>
        </w:tc>
        <w:tc>
          <w:tcPr>
            <w:tcW w:w="1834" w:type="dxa"/>
          </w:tcPr>
          <w:p w14:paraId="17A07371" w14:textId="77777777" w:rsidR="004A5640" w:rsidRPr="00EB2435" w:rsidRDefault="004A5640">
            <w:pPr>
              <w:rPr>
                <w:b/>
                <w:sz w:val="19"/>
                <w:szCs w:val="19"/>
              </w:rPr>
            </w:pPr>
            <w:r w:rsidRPr="00EB2435">
              <w:rPr>
                <w:sz w:val="19"/>
                <w:szCs w:val="19"/>
              </w:rPr>
              <w:t>Communication: Rhetoric and Reasoning</w:t>
            </w:r>
          </w:p>
        </w:tc>
        <w:tc>
          <w:tcPr>
            <w:tcW w:w="2449" w:type="dxa"/>
            <w:shd w:val="clear" w:color="auto" w:fill="D6E3BC" w:themeFill="accent3" w:themeFillTint="66"/>
          </w:tcPr>
          <w:p w14:paraId="01796675" w14:textId="77777777" w:rsidR="004A5640" w:rsidRPr="00EB2435" w:rsidRDefault="004A5640">
            <w:pPr>
              <w:rPr>
                <w:b/>
                <w:sz w:val="19"/>
                <w:szCs w:val="19"/>
              </w:rPr>
            </w:pPr>
            <w:r w:rsidRPr="00EB2435">
              <w:rPr>
                <w:sz w:val="19"/>
                <w:szCs w:val="19"/>
              </w:rPr>
              <w:t>Computers: Communication and Society</w:t>
            </w:r>
            <w:r w:rsidR="00CE0641" w:rsidRPr="00EB2435">
              <w:rPr>
                <w:sz w:val="19"/>
                <w:szCs w:val="19"/>
              </w:rPr>
              <w:t xml:space="preserve"> </w:t>
            </w:r>
            <w:r w:rsidR="00CE0641" w:rsidRPr="00EB2435">
              <w:rPr>
                <w:b/>
                <w:sz w:val="19"/>
                <w:szCs w:val="19"/>
              </w:rPr>
              <w:t>(eP: Skills Development - Creation of an eP)</w:t>
            </w:r>
          </w:p>
        </w:tc>
        <w:tc>
          <w:tcPr>
            <w:tcW w:w="2091" w:type="dxa"/>
            <w:shd w:val="clear" w:color="auto" w:fill="D6E3BC" w:themeFill="accent3" w:themeFillTint="66"/>
          </w:tcPr>
          <w:p w14:paraId="295C5705" w14:textId="77777777" w:rsidR="004A5640" w:rsidRPr="00EB2435" w:rsidRDefault="004A5640">
            <w:pPr>
              <w:rPr>
                <w:b/>
                <w:sz w:val="19"/>
                <w:szCs w:val="19"/>
              </w:rPr>
            </w:pPr>
            <w:r w:rsidRPr="00EB2435">
              <w:rPr>
                <w:sz w:val="19"/>
                <w:szCs w:val="19"/>
              </w:rPr>
              <w:t xml:space="preserve">General Studies Sub-major 1: (Creative Writing) </w:t>
            </w:r>
            <w:r w:rsidRPr="00EB2435">
              <w:rPr>
                <w:i/>
                <w:sz w:val="19"/>
                <w:szCs w:val="19"/>
              </w:rPr>
              <w:t>Professional and Creative Communication 1</w:t>
            </w:r>
            <w:r w:rsidR="00CE0641" w:rsidRPr="00EB2435">
              <w:rPr>
                <w:i/>
                <w:sz w:val="19"/>
                <w:szCs w:val="19"/>
              </w:rPr>
              <w:t xml:space="preserve"> </w:t>
            </w:r>
            <w:r w:rsidR="00CE0641" w:rsidRPr="00EB2435">
              <w:rPr>
                <w:b/>
                <w:sz w:val="19"/>
                <w:szCs w:val="19"/>
              </w:rPr>
              <w:t>(eP: Reflective Practice)</w:t>
            </w:r>
          </w:p>
        </w:tc>
      </w:tr>
      <w:tr w:rsidR="004A5640" w:rsidRPr="00CE0641" w14:paraId="56DB1FC8" w14:textId="77777777" w:rsidTr="00421562">
        <w:tc>
          <w:tcPr>
            <w:tcW w:w="1239" w:type="dxa"/>
            <w:shd w:val="clear" w:color="auto" w:fill="DBE5F1" w:themeFill="accent1" w:themeFillTint="33"/>
          </w:tcPr>
          <w:p w14:paraId="7F09F66C" w14:textId="77777777" w:rsidR="004A5640" w:rsidRPr="00EB2435" w:rsidRDefault="004A5640">
            <w:pPr>
              <w:rPr>
                <w:b/>
                <w:sz w:val="19"/>
                <w:szCs w:val="19"/>
              </w:rPr>
            </w:pPr>
            <w:r w:rsidRPr="00EB2435">
              <w:rPr>
                <w:b/>
                <w:sz w:val="19"/>
                <w:szCs w:val="19"/>
              </w:rPr>
              <w:t>Year 1 – SP5</w:t>
            </w:r>
          </w:p>
          <w:p w14:paraId="3C3F84F8" w14:textId="77777777" w:rsidR="00CE0641" w:rsidRPr="00EB2435" w:rsidRDefault="00CE0641">
            <w:pPr>
              <w:rPr>
                <w:b/>
                <w:sz w:val="19"/>
                <w:szCs w:val="19"/>
              </w:rPr>
            </w:pPr>
            <w:r w:rsidRPr="00EB2435">
              <w:rPr>
                <w:b/>
                <w:sz w:val="19"/>
                <w:szCs w:val="19"/>
              </w:rPr>
              <w:t>Collection &amp; Archive</w:t>
            </w:r>
          </w:p>
        </w:tc>
        <w:tc>
          <w:tcPr>
            <w:tcW w:w="1963" w:type="dxa"/>
            <w:shd w:val="clear" w:color="auto" w:fill="D6E3BC" w:themeFill="accent3" w:themeFillTint="66"/>
          </w:tcPr>
          <w:p w14:paraId="6BDD021F" w14:textId="77777777" w:rsidR="004A5640" w:rsidRPr="00EB2435" w:rsidRDefault="00CE0641">
            <w:pPr>
              <w:rPr>
                <w:b/>
                <w:sz w:val="19"/>
                <w:szCs w:val="19"/>
              </w:rPr>
            </w:pPr>
            <w:r w:rsidRPr="00EB2435">
              <w:rPr>
                <w:sz w:val="19"/>
                <w:szCs w:val="19"/>
              </w:rPr>
              <w:t xml:space="preserve">Screen Matters: Film, Television and New Media </w:t>
            </w:r>
            <w:r w:rsidRPr="00EB2435">
              <w:rPr>
                <w:b/>
                <w:sz w:val="19"/>
                <w:szCs w:val="19"/>
              </w:rPr>
              <w:t>(eP: Textual Analysis &amp; Discussion)</w:t>
            </w:r>
          </w:p>
        </w:tc>
        <w:tc>
          <w:tcPr>
            <w:tcW w:w="1834" w:type="dxa"/>
          </w:tcPr>
          <w:p w14:paraId="18A74BE9" w14:textId="77777777" w:rsidR="004A5640" w:rsidRPr="00EB2435" w:rsidRDefault="00CE0641">
            <w:pPr>
              <w:rPr>
                <w:b/>
                <w:sz w:val="19"/>
                <w:szCs w:val="19"/>
              </w:rPr>
            </w:pPr>
            <w:r w:rsidRPr="00EB2435">
              <w:rPr>
                <w:sz w:val="19"/>
                <w:szCs w:val="19"/>
              </w:rPr>
              <w:t xml:space="preserve">Global Societies  </w:t>
            </w:r>
          </w:p>
        </w:tc>
        <w:tc>
          <w:tcPr>
            <w:tcW w:w="2449" w:type="dxa"/>
          </w:tcPr>
          <w:p w14:paraId="6517EBCE" w14:textId="77777777" w:rsidR="004A5640" w:rsidRPr="00EB2435" w:rsidRDefault="00CE0641">
            <w:pPr>
              <w:rPr>
                <w:sz w:val="19"/>
                <w:szCs w:val="19"/>
              </w:rPr>
            </w:pPr>
            <w:r w:rsidRPr="00EB2435">
              <w:rPr>
                <w:sz w:val="19"/>
                <w:szCs w:val="19"/>
              </w:rPr>
              <w:t>Media literacies</w:t>
            </w:r>
          </w:p>
        </w:tc>
        <w:tc>
          <w:tcPr>
            <w:tcW w:w="2091" w:type="dxa"/>
            <w:shd w:val="clear" w:color="auto" w:fill="D6E3BC" w:themeFill="accent3" w:themeFillTint="66"/>
          </w:tcPr>
          <w:p w14:paraId="61BE2695" w14:textId="77777777" w:rsidR="004A5640" w:rsidRPr="00EB2435" w:rsidRDefault="00CE0641">
            <w:pPr>
              <w:rPr>
                <w:b/>
                <w:sz w:val="19"/>
                <w:szCs w:val="19"/>
              </w:rPr>
            </w:pPr>
            <w:r w:rsidRPr="00EB2435">
              <w:rPr>
                <w:sz w:val="19"/>
                <w:szCs w:val="19"/>
              </w:rPr>
              <w:t xml:space="preserve">General Studies Sub-major 2 (Creative Writing) </w:t>
            </w:r>
            <w:r w:rsidRPr="00EB2435">
              <w:rPr>
                <w:i/>
                <w:sz w:val="19"/>
                <w:szCs w:val="19"/>
              </w:rPr>
              <w:t xml:space="preserve">Writing and Reading Short Fiction </w:t>
            </w:r>
            <w:r w:rsidRPr="00EB2435">
              <w:rPr>
                <w:b/>
                <w:sz w:val="19"/>
                <w:szCs w:val="19"/>
              </w:rPr>
              <w:t>(eP:</w:t>
            </w:r>
            <w:r w:rsidRPr="00EB2435">
              <w:rPr>
                <w:b/>
                <w:i/>
                <w:sz w:val="19"/>
                <w:szCs w:val="19"/>
              </w:rPr>
              <w:t xml:space="preserve"> </w:t>
            </w:r>
            <w:r w:rsidRPr="00EB2435">
              <w:rPr>
                <w:b/>
                <w:sz w:val="19"/>
                <w:szCs w:val="19"/>
              </w:rPr>
              <w:t>Collection &amp; Archiving)</w:t>
            </w:r>
          </w:p>
        </w:tc>
      </w:tr>
      <w:tr w:rsidR="00CE0641" w:rsidRPr="00CE0641" w14:paraId="21CF04F5" w14:textId="77777777" w:rsidTr="00421562">
        <w:tc>
          <w:tcPr>
            <w:tcW w:w="1239" w:type="dxa"/>
            <w:shd w:val="clear" w:color="auto" w:fill="FDE9D9" w:themeFill="accent6" w:themeFillTint="33"/>
          </w:tcPr>
          <w:p w14:paraId="2F5F2CF3" w14:textId="77777777" w:rsidR="00CE0641" w:rsidRPr="00EB2435" w:rsidRDefault="00CE0641" w:rsidP="008858C5">
            <w:pPr>
              <w:rPr>
                <w:b/>
                <w:sz w:val="19"/>
                <w:szCs w:val="19"/>
              </w:rPr>
            </w:pPr>
            <w:r w:rsidRPr="00EB2435">
              <w:rPr>
                <w:b/>
                <w:sz w:val="19"/>
                <w:szCs w:val="19"/>
              </w:rPr>
              <w:t>Year 2 – SP2</w:t>
            </w:r>
          </w:p>
          <w:p w14:paraId="714C3254" w14:textId="77777777" w:rsidR="00CE0641" w:rsidRPr="00EB2435" w:rsidRDefault="00CE0641" w:rsidP="00CE0641">
            <w:pPr>
              <w:rPr>
                <w:b/>
                <w:sz w:val="19"/>
                <w:szCs w:val="19"/>
              </w:rPr>
            </w:pPr>
            <w:r w:rsidRPr="00EB2435">
              <w:rPr>
                <w:b/>
                <w:sz w:val="19"/>
                <w:szCs w:val="19"/>
              </w:rPr>
              <w:t>Reflection &amp; Feedback</w:t>
            </w:r>
          </w:p>
          <w:p w14:paraId="1333A85F" w14:textId="77777777" w:rsidR="00CE0641" w:rsidRPr="00EB2435" w:rsidRDefault="00CE0641" w:rsidP="008858C5">
            <w:pPr>
              <w:rPr>
                <w:b/>
                <w:sz w:val="19"/>
                <w:szCs w:val="19"/>
              </w:rPr>
            </w:pPr>
          </w:p>
        </w:tc>
        <w:tc>
          <w:tcPr>
            <w:tcW w:w="1963" w:type="dxa"/>
          </w:tcPr>
          <w:p w14:paraId="3FCEEEB2" w14:textId="77777777" w:rsidR="00CE0641" w:rsidRPr="00EB2435" w:rsidRDefault="00CE0641" w:rsidP="00CE0641">
            <w:pPr>
              <w:rPr>
                <w:sz w:val="19"/>
                <w:szCs w:val="19"/>
              </w:rPr>
            </w:pPr>
            <w:r w:rsidRPr="00EB2435">
              <w:rPr>
                <w:sz w:val="19"/>
                <w:szCs w:val="19"/>
              </w:rPr>
              <w:t>Culture, Place and Meaning</w:t>
            </w:r>
          </w:p>
          <w:p w14:paraId="00A8069F" w14:textId="77777777" w:rsidR="00CE0641" w:rsidRPr="00EB2435" w:rsidRDefault="00CE0641">
            <w:pPr>
              <w:rPr>
                <w:b/>
                <w:sz w:val="19"/>
                <w:szCs w:val="19"/>
              </w:rPr>
            </w:pPr>
          </w:p>
        </w:tc>
        <w:tc>
          <w:tcPr>
            <w:tcW w:w="1834" w:type="dxa"/>
            <w:shd w:val="clear" w:color="auto" w:fill="D6E3BC" w:themeFill="accent3" w:themeFillTint="66"/>
          </w:tcPr>
          <w:p w14:paraId="4912C113" w14:textId="77777777" w:rsidR="00CE0641" w:rsidRPr="00EB2435" w:rsidRDefault="00CE0641" w:rsidP="008858C5">
            <w:pPr>
              <w:rPr>
                <w:sz w:val="19"/>
                <w:szCs w:val="19"/>
              </w:rPr>
            </w:pPr>
            <w:r w:rsidRPr="00EB2435">
              <w:rPr>
                <w:sz w:val="19"/>
                <w:szCs w:val="19"/>
              </w:rPr>
              <w:t>Professional Major Option 1</w:t>
            </w:r>
          </w:p>
          <w:p w14:paraId="6F85E266" w14:textId="77777777" w:rsidR="00CE0641" w:rsidRPr="00EB2435" w:rsidRDefault="00CE0641" w:rsidP="008858C5">
            <w:pPr>
              <w:rPr>
                <w:i/>
                <w:sz w:val="19"/>
                <w:szCs w:val="19"/>
              </w:rPr>
            </w:pPr>
            <w:r w:rsidRPr="00EB2435">
              <w:rPr>
                <w:i/>
                <w:sz w:val="19"/>
                <w:szCs w:val="19"/>
              </w:rPr>
              <w:t xml:space="preserve">Multi-Mediations: Social and Cultural Uses of the New Media </w:t>
            </w:r>
            <w:r w:rsidRPr="00EB2435">
              <w:rPr>
                <w:b/>
                <w:sz w:val="19"/>
                <w:szCs w:val="19"/>
              </w:rPr>
              <w:t>(eP:</w:t>
            </w:r>
            <w:r w:rsidRPr="00EB2435">
              <w:rPr>
                <w:sz w:val="19"/>
                <w:szCs w:val="19"/>
              </w:rPr>
              <w:t xml:space="preserve"> </w:t>
            </w:r>
            <w:r w:rsidRPr="00EB2435">
              <w:rPr>
                <w:b/>
                <w:sz w:val="19"/>
                <w:szCs w:val="19"/>
              </w:rPr>
              <w:t>ePortfolio Project)</w:t>
            </w:r>
          </w:p>
        </w:tc>
        <w:tc>
          <w:tcPr>
            <w:tcW w:w="2449" w:type="dxa"/>
            <w:shd w:val="clear" w:color="auto" w:fill="D6E3BC" w:themeFill="accent3" w:themeFillTint="66"/>
          </w:tcPr>
          <w:p w14:paraId="7E4B48F4" w14:textId="77777777" w:rsidR="00CE0641" w:rsidRPr="00EB2435" w:rsidRDefault="00CE0641" w:rsidP="00CE0641">
            <w:pPr>
              <w:rPr>
                <w:sz w:val="19"/>
                <w:szCs w:val="19"/>
              </w:rPr>
            </w:pPr>
            <w:r w:rsidRPr="00EB2435">
              <w:rPr>
                <w:sz w:val="19"/>
                <w:szCs w:val="19"/>
              </w:rPr>
              <w:t>General Studies Sub-major 3</w:t>
            </w:r>
          </w:p>
          <w:p w14:paraId="293ABA0B" w14:textId="77777777" w:rsidR="00CE0641" w:rsidRPr="00EB2435" w:rsidRDefault="00CE0641" w:rsidP="00CE0641">
            <w:pPr>
              <w:rPr>
                <w:sz w:val="19"/>
                <w:szCs w:val="19"/>
              </w:rPr>
            </w:pPr>
            <w:r w:rsidRPr="00EB2435">
              <w:rPr>
                <w:sz w:val="19"/>
                <w:szCs w:val="19"/>
              </w:rPr>
              <w:t>(Creative Writing)</w:t>
            </w:r>
          </w:p>
          <w:p w14:paraId="4D000625" w14:textId="77777777" w:rsidR="00CE0641" w:rsidRPr="00EB2435" w:rsidRDefault="00CE0641" w:rsidP="00CE0641">
            <w:pPr>
              <w:rPr>
                <w:b/>
                <w:sz w:val="19"/>
                <w:szCs w:val="19"/>
              </w:rPr>
            </w:pPr>
            <w:r w:rsidRPr="00EB2435">
              <w:rPr>
                <w:i/>
                <w:sz w:val="19"/>
                <w:szCs w:val="19"/>
              </w:rPr>
              <w:t xml:space="preserve">Creative Writing Practice </w:t>
            </w:r>
            <w:r w:rsidRPr="00EB2435">
              <w:rPr>
                <w:b/>
                <w:sz w:val="19"/>
                <w:szCs w:val="19"/>
              </w:rPr>
              <w:t>(eP: Reflective Practice &amp; Feedback)</w:t>
            </w:r>
          </w:p>
        </w:tc>
        <w:tc>
          <w:tcPr>
            <w:tcW w:w="2091" w:type="dxa"/>
          </w:tcPr>
          <w:p w14:paraId="14F8A498" w14:textId="77777777" w:rsidR="00CE0641" w:rsidRPr="00EB2435" w:rsidRDefault="00CE0641">
            <w:pPr>
              <w:rPr>
                <w:b/>
                <w:sz w:val="19"/>
                <w:szCs w:val="19"/>
              </w:rPr>
            </w:pPr>
            <w:r w:rsidRPr="00EB2435">
              <w:rPr>
                <w:sz w:val="19"/>
                <w:szCs w:val="19"/>
              </w:rPr>
              <w:t>Communication, Culture and Indigenous Australians</w:t>
            </w:r>
          </w:p>
        </w:tc>
      </w:tr>
      <w:tr w:rsidR="008858C5" w:rsidRPr="00CE0641" w14:paraId="5520150C" w14:textId="77777777" w:rsidTr="00421562">
        <w:tc>
          <w:tcPr>
            <w:tcW w:w="1239" w:type="dxa"/>
            <w:shd w:val="clear" w:color="auto" w:fill="FDE9D9" w:themeFill="accent6" w:themeFillTint="33"/>
          </w:tcPr>
          <w:p w14:paraId="1DFDE527" w14:textId="77777777" w:rsidR="008858C5" w:rsidRPr="00EB2435" w:rsidRDefault="008858C5" w:rsidP="008858C5">
            <w:pPr>
              <w:rPr>
                <w:b/>
                <w:sz w:val="19"/>
                <w:szCs w:val="19"/>
              </w:rPr>
            </w:pPr>
            <w:r w:rsidRPr="00EB2435">
              <w:rPr>
                <w:b/>
                <w:sz w:val="19"/>
                <w:szCs w:val="19"/>
              </w:rPr>
              <w:t>Year 2 – SP5 Reflection &amp; Feedback</w:t>
            </w:r>
          </w:p>
        </w:tc>
        <w:tc>
          <w:tcPr>
            <w:tcW w:w="1963" w:type="dxa"/>
          </w:tcPr>
          <w:p w14:paraId="304CBAD9" w14:textId="77777777" w:rsidR="008858C5" w:rsidRPr="00EB2435" w:rsidRDefault="008858C5" w:rsidP="008858C5">
            <w:pPr>
              <w:rPr>
                <w:sz w:val="19"/>
                <w:szCs w:val="19"/>
              </w:rPr>
            </w:pPr>
            <w:r w:rsidRPr="00EB2435">
              <w:rPr>
                <w:sz w:val="19"/>
                <w:szCs w:val="19"/>
              </w:rPr>
              <w:t xml:space="preserve">Creative Industries and Ethics </w:t>
            </w:r>
          </w:p>
          <w:p w14:paraId="0AA8DAB8" w14:textId="77777777" w:rsidR="008858C5" w:rsidRPr="00EB2435" w:rsidRDefault="008858C5" w:rsidP="008858C5">
            <w:pPr>
              <w:rPr>
                <w:sz w:val="19"/>
                <w:szCs w:val="19"/>
              </w:rPr>
            </w:pPr>
          </w:p>
        </w:tc>
        <w:tc>
          <w:tcPr>
            <w:tcW w:w="1834" w:type="dxa"/>
            <w:shd w:val="clear" w:color="auto" w:fill="D6E3BC" w:themeFill="accent3" w:themeFillTint="66"/>
          </w:tcPr>
          <w:p w14:paraId="0ADB8E0D" w14:textId="77777777" w:rsidR="008858C5" w:rsidRPr="00EB2435" w:rsidRDefault="008858C5" w:rsidP="008858C5">
            <w:pPr>
              <w:rPr>
                <w:sz w:val="19"/>
                <w:szCs w:val="19"/>
              </w:rPr>
            </w:pPr>
            <w:r w:rsidRPr="00EB2435">
              <w:rPr>
                <w:sz w:val="19"/>
                <w:szCs w:val="19"/>
              </w:rPr>
              <w:t>General Studies Sub-major 4</w:t>
            </w:r>
          </w:p>
          <w:p w14:paraId="23E54DF5" w14:textId="77777777" w:rsidR="008858C5" w:rsidRPr="00EB2435" w:rsidRDefault="008858C5" w:rsidP="008858C5">
            <w:pPr>
              <w:rPr>
                <w:sz w:val="19"/>
                <w:szCs w:val="19"/>
              </w:rPr>
            </w:pPr>
            <w:r w:rsidRPr="00EB2435">
              <w:rPr>
                <w:sz w:val="19"/>
                <w:szCs w:val="19"/>
              </w:rPr>
              <w:t>(Creative Writing)</w:t>
            </w:r>
          </w:p>
          <w:p w14:paraId="2EEC838D" w14:textId="77777777" w:rsidR="008858C5" w:rsidRPr="00EB2435" w:rsidRDefault="008858C5" w:rsidP="008858C5">
            <w:pPr>
              <w:rPr>
                <w:i/>
                <w:sz w:val="19"/>
                <w:szCs w:val="19"/>
              </w:rPr>
            </w:pPr>
            <w:r w:rsidRPr="00EB2435">
              <w:rPr>
                <w:i/>
                <w:sz w:val="19"/>
                <w:szCs w:val="19"/>
              </w:rPr>
              <w:t xml:space="preserve">Writing and Reading Poetry </w:t>
            </w:r>
            <w:r w:rsidRPr="00EB2435">
              <w:rPr>
                <w:b/>
                <w:sz w:val="19"/>
                <w:szCs w:val="19"/>
              </w:rPr>
              <w:t>(eP: Reflective Practice &amp; Feedback)</w:t>
            </w:r>
          </w:p>
        </w:tc>
        <w:tc>
          <w:tcPr>
            <w:tcW w:w="2449" w:type="dxa"/>
          </w:tcPr>
          <w:p w14:paraId="427F8001" w14:textId="77777777" w:rsidR="008858C5" w:rsidRPr="00EB2435" w:rsidRDefault="008858C5" w:rsidP="008858C5">
            <w:pPr>
              <w:rPr>
                <w:sz w:val="19"/>
                <w:szCs w:val="19"/>
              </w:rPr>
            </w:pPr>
            <w:r w:rsidRPr="00EB2435">
              <w:rPr>
                <w:sz w:val="19"/>
                <w:szCs w:val="19"/>
              </w:rPr>
              <w:t>Free Elective</w:t>
            </w:r>
          </w:p>
          <w:p w14:paraId="305E80A7" w14:textId="77777777" w:rsidR="008858C5" w:rsidRPr="00EB2435" w:rsidRDefault="008858C5" w:rsidP="008858C5">
            <w:pPr>
              <w:rPr>
                <w:b/>
                <w:sz w:val="19"/>
                <w:szCs w:val="19"/>
              </w:rPr>
            </w:pPr>
            <w:r w:rsidRPr="00EB2435">
              <w:rPr>
                <w:i/>
                <w:sz w:val="19"/>
                <w:szCs w:val="19"/>
              </w:rPr>
              <w:t>Public Relations 1 CMM</w:t>
            </w:r>
          </w:p>
        </w:tc>
        <w:tc>
          <w:tcPr>
            <w:tcW w:w="2091" w:type="dxa"/>
            <w:shd w:val="clear" w:color="auto" w:fill="D6E3BC" w:themeFill="accent3" w:themeFillTint="66"/>
          </w:tcPr>
          <w:p w14:paraId="347A5BCA" w14:textId="77777777" w:rsidR="008858C5" w:rsidRPr="00EB2435" w:rsidRDefault="008858C5" w:rsidP="008858C5">
            <w:pPr>
              <w:rPr>
                <w:sz w:val="19"/>
                <w:szCs w:val="19"/>
              </w:rPr>
            </w:pPr>
            <w:r w:rsidRPr="00EB2435">
              <w:rPr>
                <w:sz w:val="19"/>
                <w:szCs w:val="19"/>
              </w:rPr>
              <w:t xml:space="preserve">Elective 1 / Professional Concentration 1 (Performing Arts) </w:t>
            </w:r>
            <w:r w:rsidRPr="00EB2435">
              <w:rPr>
                <w:i/>
                <w:sz w:val="19"/>
                <w:szCs w:val="19"/>
              </w:rPr>
              <w:t xml:space="preserve">Effective Communication </w:t>
            </w:r>
            <w:r w:rsidRPr="00EB2435">
              <w:rPr>
                <w:b/>
                <w:sz w:val="19"/>
                <w:szCs w:val="19"/>
              </w:rPr>
              <w:t>(eP:</w:t>
            </w:r>
            <w:r w:rsidRPr="00EB2435">
              <w:rPr>
                <w:i/>
                <w:sz w:val="19"/>
                <w:szCs w:val="19"/>
              </w:rPr>
              <w:t xml:space="preserve"> </w:t>
            </w:r>
            <w:r w:rsidRPr="00EB2435">
              <w:rPr>
                <w:b/>
                <w:sz w:val="19"/>
                <w:szCs w:val="19"/>
              </w:rPr>
              <w:t>Mobile Learning / Reflective Practice &amp; Feedback on Oral Presentation)</w:t>
            </w:r>
          </w:p>
        </w:tc>
      </w:tr>
      <w:tr w:rsidR="008858C5" w:rsidRPr="00CE0641" w14:paraId="1D2B5234" w14:textId="77777777" w:rsidTr="00421562">
        <w:tc>
          <w:tcPr>
            <w:tcW w:w="1239" w:type="dxa"/>
            <w:shd w:val="clear" w:color="auto" w:fill="F2F2F2" w:themeFill="background1" w:themeFillShade="F2"/>
          </w:tcPr>
          <w:p w14:paraId="4AD43DD5" w14:textId="77777777" w:rsidR="008858C5" w:rsidRPr="00EB2435" w:rsidRDefault="008858C5" w:rsidP="008858C5">
            <w:pPr>
              <w:rPr>
                <w:b/>
                <w:sz w:val="19"/>
                <w:szCs w:val="19"/>
              </w:rPr>
            </w:pPr>
            <w:r w:rsidRPr="00EB2435">
              <w:rPr>
                <w:b/>
                <w:sz w:val="19"/>
                <w:szCs w:val="19"/>
              </w:rPr>
              <w:t>Year 3 – SP2 Selection &amp; Presentation</w:t>
            </w:r>
          </w:p>
        </w:tc>
        <w:tc>
          <w:tcPr>
            <w:tcW w:w="1963" w:type="dxa"/>
            <w:shd w:val="clear" w:color="auto" w:fill="D6E3BC" w:themeFill="accent3" w:themeFillTint="66"/>
          </w:tcPr>
          <w:p w14:paraId="4B54F15D" w14:textId="77777777" w:rsidR="008858C5" w:rsidRPr="00EB2435" w:rsidRDefault="008858C5" w:rsidP="008858C5">
            <w:pPr>
              <w:rPr>
                <w:sz w:val="19"/>
                <w:szCs w:val="19"/>
              </w:rPr>
            </w:pPr>
            <w:r w:rsidRPr="00EB2435">
              <w:rPr>
                <w:sz w:val="19"/>
                <w:szCs w:val="19"/>
              </w:rPr>
              <w:t xml:space="preserve">Communication Practicum 1 </w:t>
            </w:r>
            <w:r w:rsidRPr="00EB2435">
              <w:rPr>
                <w:b/>
                <w:sz w:val="19"/>
                <w:szCs w:val="19"/>
              </w:rPr>
              <w:t>(eP:</w:t>
            </w:r>
            <w:r w:rsidRPr="00EB2435">
              <w:rPr>
                <w:sz w:val="19"/>
                <w:szCs w:val="19"/>
              </w:rPr>
              <w:t xml:space="preserve"> </w:t>
            </w:r>
            <w:r w:rsidRPr="00EB2435">
              <w:rPr>
                <w:b/>
                <w:sz w:val="19"/>
                <w:szCs w:val="19"/>
              </w:rPr>
              <w:t>Professional Development: Competencies &amp; CV/Resume</w:t>
            </w:r>
          </w:p>
        </w:tc>
        <w:tc>
          <w:tcPr>
            <w:tcW w:w="1834" w:type="dxa"/>
          </w:tcPr>
          <w:p w14:paraId="14BC6696" w14:textId="77777777" w:rsidR="008858C5" w:rsidRPr="00EB2435" w:rsidRDefault="008858C5" w:rsidP="008858C5">
            <w:pPr>
              <w:rPr>
                <w:sz w:val="19"/>
                <w:szCs w:val="19"/>
              </w:rPr>
            </w:pPr>
            <w:r w:rsidRPr="00EB2435">
              <w:rPr>
                <w:sz w:val="19"/>
                <w:szCs w:val="19"/>
              </w:rPr>
              <w:t>General Studies Sub-major 5</w:t>
            </w:r>
          </w:p>
          <w:p w14:paraId="1AB84E41" w14:textId="77777777" w:rsidR="008858C5" w:rsidRPr="00EB2435" w:rsidRDefault="008858C5" w:rsidP="008858C5">
            <w:pPr>
              <w:rPr>
                <w:sz w:val="19"/>
                <w:szCs w:val="19"/>
              </w:rPr>
            </w:pPr>
            <w:r w:rsidRPr="00EB2435">
              <w:rPr>
                <w:sz w:val="19"/>
                <w:szCs w:val="19"/>
              </w:rPr>
              <w:t xml:space="preserve">(Creative Writing) </w:t>
            </w:r>
          </w:p>
          <w:p w14:paraId="2B9ECB36" w14:textId="77777777" w:rsidR="008858C5" w:rsidRPr="00EB2435" w:rsidRDefault="008858C5" w:rsidP="008858C5">
            <w:pPr>
              <w:rPr>
                <w:b/>
                <w:sz w:val="19"/>
                <w:szCs w:val="19"/>
              </w:rPr>
            </w:pPr>
            <w:r w:rsidRPr="00EB2435">
              <w:rPr>
                <w:i/>
                <w:sz w:val="19"/>
                <w:szCs w:val="19"/>
              </w:rPr>
              <w:t>Scriptwriting for Media</w:t>
            </w:r>
          </w:p>
        </w:tc>
        <w:tc>
          <w:tcPr>
            <w:tcW w:w="2449" w:type="dxa"/>
            <w:shd w:val="clear" w:color="auto" w:fill="D6E3BC" w:themeFill="accent3" w:themeFillTint="66"/>
          </w:tcPr>
          <w:p w14:paraId="05E6A7EB" w14:textId="77777777" w:rsidR="008858C5" w:rsidRPr="00EB2435" w:rsidRDefault="008858C5" w:rsidP="008858C5">
            <w:pPr>
              <w:rPr>
                <w:sz w:val="19"/>
                <w:szCs w:val="19"/>
              </w:rPr>
            </w:pPr>
            <w:r w:rsidRPr="00EB2435">
              <w:rPr>
                <w:sz w:val="19"/>
                <w:szCs w:val="19"/>
              </w:rPr>
              <w:t xml:space="preserve">Elective 2 / Professional Concentration 2 (Performing Arts) </w:t>
            </w:r>
            <w:r w:rsidRPr="00EB2435">
              <w:rPr>
                <w:i/>
                <w:sz w:val="19"/>
                <w:szCs w:val="19"/>
              </w:rPr>
              <w:t xml:space="preserve">Introduction to Film and Television Production </w:t>
            </w:r>
            <w:r w:rsidRPr="00EB2435">
              <w:rPr>
                <w:b/>
                <w:sz w:val="19"/>
                <w:szCs w:val="19"/>
              </w:rPr>
              <w:t>(eP:</w:t>
            </w:r>
            <w:r w:rsidRPr="00EB2435">
              <w:rPr>
                <w:i/>
                <w:sz w:val="19"/>
                <w:szCs w:val="19"/>
              </w:rPr>
              <w:t xml:space="preserve"> </w:t>
            </w:r>
            <w:r w:rsidRPr="00EB2435">
              <w:rPr>
                <w:b/>
                <w:sz w:val="19"/>
                <w:szCs w:val="19"/>
              </w:rPr>
              <w:t>Showcasing Achievement)</w:t>
            </w:r>
          </w:p>
        </w:tc>
        <w:tc>
          <w:tcPr>
            <w:tcW w:w="2091" w:type="dxa"/>
            <w:shd w:val="clear" w:color="auto" w:fill="D6E3BC" w:themeFill="accent3" w:themeFillTint="66"/>
          </w:tcPr>
          <w:p w14:paraId="7CC498EA" w14:textId="77777777" w:rsidR="008858C5" w:rsidRPr="00EB2435" w:rsidRDefault="008858C5" w:rsidP="008858C5">
            <w:pPr>
              <w:pStyle w:val="NoSpacing"/>
              <w:rPr>
                <w:sz w:val="19"/>
                <w:szCs w:val="19"/>
              </w:rPr>
            </w:pPr>
            <w:r w:rsidRPr="00EB2435">
              <w:rPr>
                <w:sz w:val="19"/>
                <w:szCs w:val="19"/>
              </w:rPr>
              <w:t xml:space="preserve">Elective 3 / Professional Concentration 3 (Performing Arts) </w:t>
            </w:r>
            <w:r w:rsidRPr="00EB2435">
              <w:rPr>
                <w:i/>
                <w:sz w:val="19"/>
                <w:szCs w:val="19"/>
              </w:rPr>
              <w:t xml:space="preserve">World Puppetry </w:t>
            </w:r>
            <w:r w:rsidRPr="00EB2435">
              <w:rPr>
                <w:b/>
                <w:sz w:val="19"/>
                <w:szCs w:val="19"/>
              </w:rPr>
              <w:t>(eP:</w:t>
            </w:r>
            <w:r w:rsidRPr="00EB2435">
              <w:rPr>
                <w:i/>
                <w:sz w:val="19"/>
                <w:szCs w:val="19"/>
              </w:rPr>
              <w:t xml:space="preserve"> </w:t>
            </w:r>
            <w:r w:rsidRPr="00EB2435">
              <w:rPr>
                <w:b/>
                <w:sz w:val="19"/>
                <w:szCs w:val="19"/>
              </w:rPr>
              <w:t>Mobile Learning/Reflective Practice &amp; Feedback)</w:t>
            </w:r>
          </w:p>
        </w:tc>
      </w:tr>
      <w:tr w:rsidR="008858C5" w:rsidRPr="00CE0641" w14:paraId="1AEFE2E5" w14:textId="77777777" w:rsidTr="00421562">
        <w:tc>
          <w:tcPr>
            <w:tcW w:w="1239" w:type="dxa"/>
            <w:shd w:val="clear" w:color="auto" w:fill="F2F2F2" w:themeFill="background1" w:themeFillShade="F2"/>
          </w:tcPr>
          <w:p w14:paraId="21FD5ED9" w14:textId="77777777" w:rsidR="008858C5" w:rsidRPr="00EB2435" w:rsidRDefault="008858C5" w:rsidP="008858C5">
            <w:pPr>
              <w:rPr>
                <w:b/>
                <w:sz w:val="19"/>
                <w:szCs w:val="19"/>
              </w:rPr>
            </w:pPr>
            <w:r w:rsidRPr="00EB2435">
              <w:rPr>
                <w:b/>
                <w:sz w:val="19"/>
                <w:szCs w:val="19"/>
              </w:rPr>
              <w:t>Year 3 – SP5</w:t>
            </w:r>
            <w:r w:rsidR="00716088" w:rsidRPr="00EB2435">
              <w:rPr>
                <w:b/>
                <w:sz w:val="19"/>
                <w:szCs w:val="19"/>
              </w:rPr>
              <w:t xml:space="preserve"> Selection &amp; Presentation</w:t>
            </w:r>
          </w:p>
        </w:tc>
        <w:tc>
          <w:tcPr>
            <w:tcW w:w="1963" w:type="dxa"/>
            <w:shd w:val="clear" w:color="auto" w:fill="D6E3BC" w:themeFill="accent3" w:themeFillTint="66"/>
          </w:tcPr>
          <w:p w14:paraId="102C6907" w14:textId="77777777" w:rsidR="008858C5" w:rsidRPr="00EB2435" w:rsidRDefault="008858C5">
            <w:pPr>
              <w:rPr>
                <w:sz w:val="19"/>
                <w:szCs w:val="19"/>
              </w:rPr>
            </w:pPr>
            <w:r w:rsidRPr="00EB2435">
              <w:rPr>
                <w:sz w:val="19"/>
                <w:szCs w:val="19"/>
              </w:rPr>
              <w:t>Communication Practicum 2</w:t>
            </w:r>
            <w:r w:rsidR="00716088" w:rsidRPr="00EB2435">
              <w:rPr>
                <w:sz w:val="19"/>
                <w:szCs w:val="19"/>
              </w:rPr>
              <w:t xml:space="preserve"> </w:t>
            </w:r>
            <w:r w:rsidR="00716088" w:rsidRPr="00EB2435">
              <w:rPr>
                <w:b/>
                <w:sz w:val="19"/>
                <w:szCs w:val="19"/>
              </w:rPr>
              <w:t>(eP:</w:t>
            </w:r>
            <w:r w:rsidR="00716088" w:rsidRPr="00EB2435">
              <w:rPr>
                <w:sz w:val="19"/>
                <w:szCs w:val="19"/>
              </w:rPr>
              <w:t xml:space="preserve"> </w:t>
            </w:r>
            <w:r w:rsidR="00716088" w:rsidRPr="00EB2435">
              <w:rPr>
                <w:b/>
                <w:sz w:val="19"/>
                <w:szCs w:val="19"/>
              </w:rPr>
              <w:t>Placement/Fieldwork Reflections)</w:t>
            </w:r>
          </w:p>
        </w:tc>
        <w:tc>
          <w:tcPr>
            <w:tcW w:w="1834" w:type="dxa"/>
          </w:tcPr>
          <w:p w14:paraId="12C5DBE1" w14:textId="77777777" w:rsidR="00716088" w:rsidRPr="00EB2435" w:rsidRDefault="00716088" w:rsidP="00716088">
            <w:pPr>
              <w:rPr>
                <w:sz w:val="19"/>
                <w:szCs w:val="19"/>
              </w:rPr>
            </w:pPr>
            <w:r w:rsidRPr="00EB2435">
              <w:rPr>
                <w:sz w:val="19"/>
                <w:szCs w:val="19"/>
              </w:rPr>
              <w:t>Professional Major Option 2</w:t>
            </w:r>
          </w:p>
          <w:p w14:paraId="4B911244" w14:textId="77777777" w:rsidR="008858C5" w:rsidRPr="00EB2435" w:rsidRDefault="00716088" w:rsidP="00716088">
            <w:pPr>
              <w:rPr>
                <w:b/>
                <w:sz w:val="19"/>
                <w:szCs w:val="19"/>
              </w:rPr>
            </w:pPr>
            <w:r w:rsidRPr="00EB2435">
              <w:rPr>
                <w:i/>
                <w:sz w:val="19"/>
                <w:szCs w:val="19"/>
              </w:rPr>
              <w:t>Television and Society</w:t>
            </w:r>
          </w:p>
        </w:tc>
        <w:tc>
          <w:tcPr>
            <w:tcW w:w="2449" w:type="dxa"/>
            <w:shd w:val="clear" w:color="auto" w:fill="D6E3BC" w:themeFill="accent3" w:themeFillTint="66"/>
          </w:tcPr>
          <w:p w14:paraId="17769824" w14:textId="77777777" w:rsidR="00716088" w:rsidRPr="00EB2435" w:rsidRDefault="00716088" w:rsidP="00716088">
            <w:pPr>
              <w:rPr>
                <w:sz w:val="19"/>
                <w:szCs w:val="19"/>
              </w:rPr>
            </w:pPr>
            <w:r w:rsidRPr="00EB2435">
              <w:rPr>
                <w:sz w:val="19"/>
                <w:szCs w:val="19"/>
              </w:rPr>
              <w:t>General Studies Sub-major 6</w:t>
            </w:r>
          </w:p>
          <w:p w14:paraId="3BB763F6" w14:textId="77777777" w:rsidR="00716088" w:rsidRPr="00EB2435" w:rsidRDefault="00716088" w:rsidP="00716088">
            <w:pPr>
              <w:rPr>
                <w:sz w:val="19"/>
                <w:szCs w:val="19"/>
              </w:rPr>
            </w:pPr>
            <w:r w:rsidRPr="00EB2435">
              <w:rPr>
                <w:sz w:val="19"/>
                <w:szCs w:val="19"/>
              </w:rPr>
              <w:t>(Creative Writing)</w:t>
            </w:r>
          </w:p>
          <w:p w14:paraId="0582A7C4" w14:textId="77777777" w:rsidR="008858C5" w:rsidRPr="00EB2435" w:rsidRDefault="00716088" w:rsidP="00716088">
            <w:pPr>
              <w:rPr>
                <w:b/>
                <w:sz w:val="19"/>
                <w:szCs w:val="19"/>
              </w:rPr>
            </w:pPr>
            <w:r w:rsidRPr="00EB2435">
              <w:rPr>
                <w:i/>
                <w:sz w:val="19"/>
                <w:szCs w:val="19"/>
              </w:rPr>
              <w:t xml:space="preserve">Creative Writing Practice </w:t>
            </w:r>
            <w:r w:rsidRPr="00EB2435">
              <w:rPr>
                <w:b/>
                <w:sz w:val="19"/>
                <w:szCs w:val="19"/>
              </w:rPr>
              <w:t>(eP:</w:t>
            </w:r>
            <w:r w:rsidRPr="00EB2435">
              <w:rPr>
                <w:i/>
                <w:sz w:val="19"/>
                <w:szCs w:val="19"/>
              </w:rPr>
              <w:t xml:space="preserve"> </w:t>
            </w:r>
            <w:r w:rsidRPr="00EB2435">
              <w:rPr>
                <w:b/>
                <w:sz w:val="19"/>
                <w:szCs w:val="19"/>
              </w:rPr>
              <w:t>Showcasing Accomplishments/Portfolio)</w:t>
            </w:r>
          </w:p>
        </w:tc>
        <w:tc>
          <w:tcPr>
            <w:tcW w:w="2091" w:type="dxa"/>
            <w:shd w:val="clear" w:color="auto" w:fill="D6E3BC" w:themeFill="accent3" w:themeFillTint="66"/>
          </w:tcPr>
          <w:p w14:paraId="006AC40D" w14:textId="05047813" w:rsidR="008858C5" w:rsidRPr="00EB2435" w:rsidRDefault="00716088" w:rsidP="00716088">
            <w:pPr>
              <w:pStyle w:val="NoSpacing"/>
              <w:rPr>
                <w:b/>
                <w:sz w:val="19"/>
                <w:szCs w:val="19"/>
              </w:rPr>
            </w:pPr>
            <w:r w:rsidRPr="00EB2435">
              <w:rPr>
                <w:sz w:val="19"/>
                <w:szCs w:val="19"/>
              </w:rPr>
              <w:t xml:space="preserve">Elective 4 / Professional Concentration 4 (Performing Arts) </w:t>
            </w:r>
            <w:r w:rsidRPr="00EB2435">
              <w:rPr>
                <w:i/>
                <w:sz w:val="19"/>
                <w:szCs w:val="19"/>
              </w:rPr>
              <w:t xml:space="preserve">Music Sound Studio </w:t>
            </w:r>
            <w:r w:rsidRPr="00EB2435">
              <w:rPr>
                <w:b/>
                <w:sz w:val="19"/>
                <w:szCs w:val="19"/>
              </w:rPr>
              <w:t>(eP:</w:t>
            </w:r>
            <w:r w:rsidRPr="00EB2435">
              <w:rPr>
                <w:i/>
                <w:sz w:val="19"/>
                <w:szCs w:val="19"/>
              </w:rPr>
              <w:t xml:space="preserve"> </w:t>
            </w:r>
            <w:r w:rsidRPr="00EB2435">
              <w:rPr>
                <w:b/>
                <w:sz w:val="19"/>
                <w:szCs w:val="19"/>
              </w:rPr>
              <w:t>Create podcast &amp; RSS</w:t>
            </w:r>
            <w:r w:rsidR="00180FB4">
              <w:rPr>
                <w:rStyle w:val="FootnoteReference"/>
                <w:b/>
                <w:sz w:val="19"/>
                <w:szCs w:val="19"/>
              </w:rPr>
              <w:footnoteReference w:id="1"/>
            </w:r>
            <w:r w:rsidRPr="00EB2435">
              <w:rPr>
                <w:b/>
                <w:sz w:val="19"/>
                <w:szCs w:val="19"/>
              </w:rPr>
              <w:t xml:space="preserve"> feed</w:t>
            </w:r>
          </w:p>
        </w:tc>
      </w:tr>
    </w:tbl>
    <w:p w14:paraId="7FE01932" w14:textId="77777777" w:rsidR="00421562" w:rsidRDefault="00421562" w:rsidP="00421562">
      <w:pPr>
        <w:ind w:left="851" w:hanging="1135"/>
        <w:rPr>
          <w:b/>
          <w:sz w:val="24"/>
          <w:szCs w:val="24"/>
        </w:rPr>
      </w:pPr>
      <w:r>
        <w:rPr>
          <w:b/>
          <w:sz w:val="24"/>
          <w:szCs w:val="24"/>
        </w:rPr>
        <w:t xml:space="preserve">     </w:t>
      </w:r>
    </w:p>
    <w:p w14:paraId="53338CBC" w14:textId="77777777" w:rsidR="00421562" w:rsidRDefault="00421562" w:rsidP="00421562">
      <w:pPr>
        <w:ind w:left="851" w:hanging="1135"/>
        <w:rPr>
          <w:b/>
          <w:sz w:val="24"/>
          <w:szCs w:val="24"/>
        </w:rPr>
      </w:pPr>
      <w:r>
        <w:rPr>
          <w:b/>
          <w:sz w:val="24"/>
          <w:szCs w:val="24"/>
        </w:rPr>
        <w:t xml:space="preserve">   </w:t>
      </w:r>
    </w:p>
    <w:p w14:paraId="66EE5C29" w14:textId="77777777" w:rsidR="00EB2435" w:rsidRPr="0021464B" w:rsidRDefault="00EB2435" w:rsidP="00EB2435">
      <w:pPr>
        <w:rPr>
          <w:b/>
        </w:rPr>
      </w:pPr>
      <w:r w:rsidRPr="0021464B">
        <w:rPr>
          <w:b/>
        </w:rPr>
        <w:t xml:space="preserve">Program: </w:t>
      </w:r>
      <w:r w:rsidRPr="0021464B">
        <w:t>MBMC (Bachelor of Communication: Media and Culture)</w:t>
      </w:r>
    </w:p>
    <w:p w14:paraId="61527153" w14:textId="77777777" w:rsidR="0007717C" w:rsidRPr="0021464B" w:rsidRDefault="0007717C">
      <w:pPr>
        <w:rPr>
          <w:b/>
        </w:rPr>
      </w:pPr>
      <w:r w:rsidRPr="0021464B">
        <w:rPr>
          <w:b/>
        </w:rPr>
        <w:t>First Year</w:t>
      </w:r>
      <w:r w:rsidR="00EC0E74" w:rsidRPr="0021464B">
        <w:rPr>
          <w:b/>
        </w:rPr>
        <w:t xml:space="preserve"> (SP2)</w:t>
      </w:r>
      <w:r w:rsidR="00FA1EFC" w:rsidRPr="0021464B">
        <w:rPr>
          <w:b/>
        </w:rPr>
        <w:t xml:space="preserve"> – </w:t>
      </w:r>
      <w:r w:rsidR="00617F14" w:rsidRPr="0021464B">
        <w:rPr>
          <w:b/>
        </w:rPr>
        <w:t>Level 1</w:t>
      </w:r>
      <w:r w:rsidR="00812CF7" w:rsidRPr="0021464B">
        <w:rPr>
          <w:b/>
        </w:rPr>
        <w:t>:</w:t>
      </w:r>
      <w:r w:rsidR="00617F14" w:rsidRPr="0021464B">
        <w:rPr>
          <w:b/>
        </w:rPr>
        <w:t xml:space="preserve"> Collection and Archive</w:t>
      </w:r>
    </w:p>
    <w:tbl>
      <w:tblPr>
        <w:tblStyle w:val="TableGrid"/>
        <w:tblW w:w="0" w:type="auto"/>
        <w:tblLook w:val="04A0" w:firstRow="1" w:lastRow="0" w:firstColumn="1" w:lastColumn="0" w:noHBand="0" w:noVBand="1"/>
      </w:tblPr>
      <w:tblGrid>
        <w:gridCol w:w="3369"/>
        <w:gridCol w:w="5953"/>
      </w:tblGrid>
      <w:tr w:rsidR="00735387" w:rsidRPr="0021464B" w14:paraId="0B5BC31E" w14:textId="77777777" w:rsidTr="00C56005">
        <w:tc>
          <w:tcPr>
            <w:tcW w:w="3369" w:type="dxa"/>
          </w:tcPr>
          <w:p w14:paraId="32D27497" w14:textId="77777777" w:rsidR="00735387" w:rsidRPr="0021464B" w:rsidRDefault="00735387" w:rsidP="00EB2435">
            <w:pPr>
              <w:spacing w:before="40" w:after="40"/>
              <w:rPr>
                <w:b/>
              </w:rPr>
            </w:pPr>
            <w:r w:rsidRPr="0021464B">
              <w:rPr>
                <w:b/>
              </w:rPr>
              <w:t>Course</w:t>
            </w:r>
          </w:p>
        </w:tc>
        <w:tc>
          <w:tcPr>
            <w:tcW w:w="5953" w:type="dxa"/>
          </w:tcPr>
          <w:p w14:paraId="4ECF8CDC" w14:textId="77777777" w:rsidR="00735387" w:rsidRPr="0021464B" w:rsidRDefault="00735387" w:rsidP="00BA2D23">
            <w:pPr>
              <w:spacing w:before="40" w:after="40"/>
              <w:rPr>
                <w:b/>
              </w:rPr>
            </w:pPr>
            <w:r w:rsidRPr="0021464B">
              <w:rPr>
                <w:b/>
              </w:rPr>
              <w:t xml:space="preserve">Mahara </w:t>
            </w:r>
            <w:r w:rsidR="00BA2D23" w:rsidRPr="0021464B">
              <w:rPr>
                <w:b/>
              </w:rPr>
              <w:t xml:space="preserve">ePortfolio </w:t>
            </w:r>
            <w:r w:rsidR="00EB2435" w:rsidRPr="0021464B">
              <w:rPr>
                <w:b/>
              </w:rPr>
              <w:t>u</w:t>
            </w:r>
            <w:r w:rsidRPr="0021464B">
              <w:rPr>
                <w:b/>
              </w:rPr>
              <w:t>sage</w:t>
            </w:r>
          </w:p>
        </w:tc>
      </w:tr>
      <w:tr w:rsidR="00735387" w:rsidRPr="0021464B" w14:paraId="0C066410" w14:textId="77777777" w:rsidTr="00C56005">
        <w:tc>
          <w:tcPr>
            <w:tcW w:w="3369" w:type="dxa"/>
          </w:tcPr>
          <w:p w14:paraId="5A591EA7" w14:textId="77777777" w:rsidR="00735387" w:rsidRPr="0021464B" w:rsidRDefault="00735387" w:rsidP="00EB2435">
            <w:pPr>
              <w:spacing w:before="40" w:after="40"/>
            </w:pPr>
            <w:r w:rsidRPr="0021464B">
              <w:t xml:space="preserve">Introduction to Communication and Cultural Studies </w:t>
            </w:r>
          </w:p>
        </w:tc>
        <w:tc>
          <w:tcPr>
            <w:tcW w:w="5953" w:type="dxa"/>
          </w:tcPr>
          <w:p w14:paraId="27F9D4D2" w14:textId="77777777" w:rsidR="00735387" w:rsidRPr="0021464B" w:rsidRDefault="00735387" w:rsidP="00EB2435">
            <w:pPr>
              <w:spacing w:before="40" w:after="40"/>
            </w:pPr>
          </w:p>
          <w:p w14:paraId="36664233" w14:textId="77777777" w:rsidR="00735387" w:rsidRPr="0021464B" w:rsidRDefault="00735387" w:rsidP="00EB2435">
            <w:pPr>
              <w:spacing w:before="40" w:after="40"/>
            </w:pPr>
          </w:p>
        </w:tc>
      </w:tr>
      <w:tr w:rsidR="00735387" w:rsidRPr="0021464B" w14:paraId="128C2843" w14:textId="77777777" w:rsidTr="00C56005">
        <w:tc>
          <w:tcPr>
            <w:tcW w:w="3369" w:type="dxa"/>
          </w:tcPr>
          <w:p w14:paraId="6C3982DD" w14:textId="77777777" w:rsidR="00735387" w:rsidRPr="0021464B" w:rsidRDefault="00735387" w:rsidP="00EB2435">
            <w:pPr>
              <w:spacing w:before="40" w:after="40"/>
            </w:pPr>
            <w:r w:rsidRPr="0021464B">
              <w:t>Communica</w:t>
            </w:r>
            <w:r w:rsidR="00F54C33" w:rsidRPr="0021464B">
              <w:t>tion: Rhetoric and Reasoning</w:t>
            </w:r>
          </w:p>
        </w:tc>
        <w:tc>
          <w:tcPr>
            <w:tcW w:w="5953" w:type="dxa"/>
          </w:tcPr>
          <w:p w14:paraId="755E5C4E" w14:textId="77777777" w:rsidR="00735387" w:rsidRPr="0021464B" w:rsidRDefault="00735387" w:rsidP="00EB2435">
            <w:pPr>
              <w:spacing w:before="40" w:after="40"/>
            </w:pPr>
          </w:p>
          <w:p w14:paraId="40081EA3" w14:textId="77777777" w:rsidR="00735387" w:rsidRPr="0021464B" w:rsidRDefault="00735387" w:rsidP="00EB2435">
            <w:pPr>
              <w:spacing w:before="40" w:after="40"/>
            </w:pPr>
          </w:p>
        </w:tc>
      </w:tr>
      <w:tr w:rsidR="00735387" w:rsidRPr="0021464B" w14:paraId="2D92FFE6" w14:textId="77777777" w:rsidTr="00C56005">
        <w:tc>
          <w:tcPr>
            <w:tcW w:w="3369" w:type="dxa"/>
          </w:tcPr>
          <w:p w14:paraId="25F14C09" w14:textId="77777777" w:rsidR="00735387" w:rsidRPr="0021464B" w:rsidRDefault="00735387" w:rsidP="00EB2435">
            <w:pPr>
              <w:spacing w:before="40" w:after="40"/>
            </w:pPr>
            <w:r w:rsidRPr="0021464B">
              <w:t>Computers: Communication and Society</w:t>
            </w:r>
          </w:p>
        </w:tc>
        <w:tc>
          <w:tcPr>
            <w:tcW w:w="5953" w:type="dxa"/>
          </w:tcPr>
          <w:p w14:paraId="34FEC9DD" w14:textId="4F08BF7E" w:rsidR="00AA1D46" w:rsidRPr="0021464B" w:rsidRDefault="00BB2252" w:rsidP="00EB2435">
            <w:pPr>
              <w:spacing w:before="40" w:after="40"/>
            </w:pPr>
            <w:r w:rsidRPr="0021464B">
              <w:rPr>
                <w:b/>
              </w:rPr>
              <w:t xml:space="preserve">Skills Development: </w:t>
            </w:r>
            <w:r w:rsidR="00F54C33" w:rsidRPr="0021464B">
              <w:rPr>
                <w:b/>
              </w:rPr>
              <w:t xml:space="preserve">Creation </w:t>
            </w:r>
            <w:r w:rsidR="00E535C3" w:rsidRPr="0021464B">
              <w:rPr>
                <w:b/>
              </w:rPr>
              <w:t xml:space="preserve">of </w:t>
            </w:r>
            <w:r w:rsidR="006731E2" w:rsidRPr="0021464B">
              <w:rPr>
                <w:b/>
              </w:rPr>
              <w:t xml:space="preserve">an </w:t>
            </w:r>
            <w:r w:rsidR="00E535C3" w:rsidRPr="0021464B">
              <w:rPr>
                <w:b/>
              </w:rPr>
              <w:t>ePortfolio.</w:t>
            </w:r>
            <w:r w:rsidR="00E535C3" w:rsidRPr="0021464B">
              <w:t xml:space="preserve"> </w:t>
            </w:r>
            <w:r w:rsidR="00C56005" w:rsidRPr="0021464B">
              <w:t>As well as learning the technical aspects of the software, and its integration</w:t>
            </w:r>
            <w:r w:rsidR="00FF5220" w:rsidRPr="0021464B">
              <w:t xml:space="preserve"> into learn</w:t>
            </w:r>
            <w:r w:rsidR="00FF5220" w:rsidRPr="0021464B">
              <w:rPr>
                <w:b/>
              </w:rPr>
              <w:t>online</w:t>
            </w:r>
            <w:r w:rsidR="00AC6A99" w:rsidRPr="0021464B">
              <w:t xml:space="preserve">, students will </w:t>
            </w:r>
            <w:r w:rsidR="002B154C" w:rsidRPr="0021464B">
              <w:t>be introduced to</w:t>
            </w:r>
            <w:r w:rsidR="00AC6A99" w:rsidRPr="0021464B">
              <w:t xml:space="preserve"> the </w:t>
            </w:r>
            <w:r w:rsidR="00FF5220" w:rsidRPr="0021464B">
              <w:t xml:space="preserve">rationale </w:t>
            </w:r>
            <w:r w:rsidR="00AC6A99" w:rsidRPr="0021464B">
              <w:t>behind the use of an eP</w:t>
            </w:r>
            <w:r w:rsidRPr="0021464B">
              <w:t xml:space="preserve"> and the potential benefits of the system</w:t>
            </w:r>
            <w:r w:rsidR="00AC6A99" w:rsidRPr="0021464B">
              <w:t>.</w:t>
            </w:r>
            <w:r w:rsidR="002B154C" w:rsidRPr="0021464B">
              <w:t xml:space="preserve"> </w:t>
            </w:r>
            <w:r w:rsidR="006731E2" w:rsidRPr="0021464B">
              <w:t>Assessment could involve the creation of a profile and ‘view’ or collection</w:t>
            </w:r>
            <w:r w:rsidR="00180FB4">
              <w:rPr>
                <w:rStyle w:val="FootnoteReference"/>
              </w:rPr>
              <w:footnoteReference w:id="2"/>
            </w:r>
            <w:r w:rsidR="006731E2" w:rsidRPr="0021464B">
              <w:t xml:space="preserve"> </w:t>
            </w:r>
            <w:r w:rsidR="00B578FA" w:rsidRPr="0021464B">
              <w:t xml:space="preserve">of </w:t>
            </w:r>
            <w:proofErr w:type="gramStart"/>
            <w:r w:rsidR="006731E2" w:rsidRPr="0021464B">
              <w:t>views which</w:t>
            </w:r>
            <w:proofErr w:type="gramEnd"/>
            <w:r w:rsidR="006731E2" w:rsidRPr="0021464B">
              <w:t xml:space="preserve"> reflect</w:t>
            </w:r>
            <w:r w:rsidR="00B578FA" w:rsidRPr="0021464B">
              <w:t xml:space="preserve"> or develop</w:t>
            </w:r>
            <w:r w:rsidR="006731E2" w:rsidRPr="0021464B">
              <w:t xml:space="preserve"> the </w:t>
            </w:r>
            <w:r w:rsidR="00B578FA" w:rsidRPr="0021464B">
              <w:t>student’s</w:t>
            </w:r>
            <w:r w:rsidR="006731E2" w:rsidRPr="0021464B">
              <w:t xml:space="preserve"> notions of digital literacy. </w:t>
            </w:r>
            <w:r w:rsidR="00B578FA" w:rsidRPr="0021464B">
              <w:t>Mahara users</w:t>
            </w:r>
            <w:r w:rsidR="00834265" w:rsidRPr="0021464B">
              <w:t xml:space="preserve"> will also begin the process of connecting with other students and staff as part of a professional network</w:t>
            </w:r>
            <w:r w:rsidR="008539A1" w:rsidRPr="0021464B">
              <w:t xml:space="preserve"> through the eP’s social networking function</w:t>
            </w:r>
            <w:r w:rsidR="00834265" w:rsidRPr="0021464B">
              <w:t xml:space="preserve">. </w:t>
            </w:r>
          </w:p>
        </w:tc>
      </w:tr>
      <w:tr w:rsidR="00735387" w:rsidRPr="0021464B" w14:paraId="7F684AF2" w14:textId="77777777" w:rsidTr="00C56005">
        <w:tc>
          <w:tcPr>
            <w:tcW w:w="3369" w:type="dxa"/>
          </w:tcPr>
          <w:p w14:paraId="7B6FE182" w14:textId="77777777" w:rsidR="00735387" w:rsidRPr="0021464B" w:rsidRDefault="00735387" w:rsidP="00EB2435">
            <w:pPr>
              <w:spacing w:before="40" w:after="40"/>
            </w:pPr>
            <w:r w:rsidRPr="0021464B">
              <w:t>General Studies Sub-major 1</w:t>
            </w:r>
            <w:r w:rsidR="008621FF" w:rsidRPr="0021464B">
              <w:t xml:space="preserve">: </w:t>
            </w:r>
            <w:r w:rsidR="00F54C33" w:rsidRPr="0021464B">
              <w:t>(Creative Writing</w:t>
            </w:r>
            <w:r w:rsidR="008621FF" w:rsidRPr="0021464B">
              <w:t xml:space="preserve">) </w:t>
            </w:r>
            <w:r w:rsidR="008621FF" w:rsidRPr="0021464B">
              <w:rPr>
                <w:i/>
              </w:rPr>
              <w:t>Professional and Creative Communication 1</w:t>
            </w:r>
          </w:p>
        </w:tc>
        <w:tc>
          <w:tcPr>
            <w:tcW w:w="5953" w:type="dxa"/>
          </w:tcPr>
          <w:p w14:paraId="0E2B38F5" w14:textId="77777777" w:rsidR="00735387" w:rsidRPr="0021464B" w:rsidRDefault="00B4009C" w:rsidP="00EB2435">
            <w:pPr>
              <w:spacing w:before="40" w:after="40"/>
            </w:pPr>
            <w:r w:rsidRPr="0021464B">
              <w:rPr>
                <w:b/>
              </w:rPr>
              <w:t>Reflective P</w:t>
            </w:r>
            <w:r w:rsidR="00E535C3" w:rsidRPr="0021464B">
              <w:rPr>
                <w:b/>
              </w:rPr>
              <w:t xml:space="preserve">ractice. </w:t>
            </w:r>
            <w:r w:rsidR="00FF5F6B" w:rsidRPr="0021464B">
              <w:t>The ePortfolio provides an</w:t>
            </w:r>
            <w:r w:rsidR="001245FE" w:rsidRPr="0021464B">
              <w:t xml:space="preserve"> </w:t>
            </w:r>
            <w:r w:rsidR="00956329" w:rsidRPr="0021464B">
              <w:t xml:space="preserve">ideal </w:t>
            </w:r>
            <w:r w:rsidR="001245FE" w:rsidRPr="0021464B">
              <w:t xml:space="preserve">opportunity for students to begin presenting their written work online and to </w:t>
            </w:r>
            <w:r w:rsidR="00956329" w:rsidRPr="0021464B">
              <w:t>start the process of</w:t>
            </w:r>
            <w:r w:rsidR="001245FE" w:rsidRPr="0021464B">
              <w:t xml:space="preserve"> critical </w:t>
            </w:r>
            <w:r w:rsidR="00177358" w:rsidRPr="0021464B">
              <w:t>self-reflection</w:t>
            </w:r>
            <w:r w:rsidR="001245FE" w:rsidRPr="0021464B">
              <w:t xml:space="preserve">. As this is the beginning of the sub-major </w:t>
            </w:r>
            <w:r w:rsidR="00BB2252" w:rsidRPr="0021464B">
              <w:t xml:space="preserve">in </w:t>
            </w:r>
            <w:r w:rsidR="00BB2252" w:rsidRPr="0021464B">
              <w:rPr>
                <w:i/>
              </w:rPr>
              <w:t xml:space="preserve">Creative Writing </w:t>
            </w:r>
            <w:r w:rsidR="00D37EC2" w:rsidRPr="0021464B">
              <w:t xml:space="preserve">this </w:t>
            </w:r>
            <w:r w:rsidR="00BB2252" w:rsidRPr="0021464B">
              <w:t xml:space="preserve">practice </w:t>
            </w:r>
            <w:r w:rsidR="00D37EC2" w:rsidRPr="0021464B">
              <w:t xml:space="preserve">begins the crucial process of </w:t>
            </w:r>
            <w:r w:rsidR="00B578FA" w:rsidRPr="0021464B">
              <w:t>tracing</w:t>
            </w:r>
            <w:r w:rsidR="00D37EC2" w:rsidRPr="0021464B">
              <w:t xml:space="preserve"> development over time.</w:t>
            </w:r>
            <w:r w:rsidR="0033442E" w:rsidRPr="0021464B">
              <w:t xml:space="preserve"> As students will be encouraged to constantly publish and reflect upon t</w:t>
            </w:r>
            <w:r w:rsidR="004A5640" w:rsidRPr="0021464B">
              <w:t>heir own work throughout</w:t>
            </w:r>
            <w:r w:rsidR="0033442E" w:rsidRPr="0021464B">
              <w:t xml:space="preserve"> the </w:t>
            </w:r>
            <w:r w:rsidR="00916C19" w:rsidRPr="0021464B">
              <w:t>program it</w:t>
            </w:r>
            <w:r w:rsidR="0033442E" w:rsidRPr="0021464B">
              <w:t xml:space="preserve"> is envisaged</w:t>
            </w:r>
            <w:r w:rsidR="001C13F7" w:rsidRPr="0021464B">
              <w:t xml:space="preserve"> </w:t>
            </w:r>
            <w:r w:rsidR="00B578FA" w:rsidRPr="0021464B">
              <w:t xml:space="preserve">that </w:t>
            </w:r>
            <w:r w:rsidR="001C13F7" w:rsidRPr="0021464B">
              <w:t>they will be able to look back and witness the development of their own writing skills.</w:t>
            </w:r>
            <w:r w:rsidR="001A45C3" w:rsidRPr="0021464B">
              <w:t xml:space="preserve"> Adoption of an eP at a whole of program level can represent a significant cultural change</w:t>
            </w:r>
            <w:r w:rsidR="00147728" w:rsidRPr="0021464B">
              <w:t xml:space="preserve"> for both staff and students.</w:t>
            </w:r>
            <w:r w:rsidR="00916C19" w:rsidRPr="0021464B">
              <w:t xml:space="preserve"> Writing eP’s in to course materials at this early stage </w:t>
            </w:r>
            <w:r w:rsidR="00812CF7" w:rsidRPr="0021464B">
              <w:t>sh</w:t>
            </w:r>
            <w:r w:rsidR="00916C19" w:rsidRPr="0021464B">
              <w:t>ould mean that their use becomes a</w:t>
            </w:r>
            <w:r w:rsidR="00812CF7" w:rsidRPr="0021464B">
              <w:t>n expected and</w:t>
            </w:r>
            <w:r w:rsidR="00916C19" w:rsidRPr="0021464B">
              <w:t xml:space="preserve"> </w:t>
            </w:r>
            <w:r w:rsidR="00812CF7" w:rsidRPr="0021464B">
              <w:t xml:space="preserve">formal element of the </w:t>
            </w:r>
            <w:r w:rsidR="00916C19" w:rsidRPr="0021464B">
              <w:t>teaching and learning a</w:t>
            </w:r>
            <w:r w:rsidR="00812CF7" w:rsidRPr="0021464B">
              <w:t>rrangements</w:t>
            </w:r>
            <w:r w:rsidR="00916C19" w:rsidRPr="0021464B">
              <w:t xml:space="preserve">. </w:t>
            </w:r>
          </w:p>
          <w:p w14:paraId="2B34C4E1" w14:textId="77777777" w:rsidR="00BB2252" w:rsidRPr="0021464B" w:rsidRDefault="00BB2252" w:rsidP="00EB2435">
            <w:pPr>
              <w:spacing w:before="40" w:after="40"/>
            </w:pPr>
          </w:p>
          <w:p w14:paraId="2271B638" w14:textId="77777777" w:rsidR="00735387" w:rsidRPr="0021464B" w:rsidRDefault="00177358" w:rsidP="00EB2435">
            <w:pPr>
              <w:spacing w:before="40" w:after="40"/>
            </w:pPr>
            <w:r w:rsidRPr="0021464B">
              <w:t xml:space="preserve">This is also a space for reflection and feedback from other students and staff. </w:t>
            </w:r>
            <w:proofErr w:type="gramStart"/>
            <w:r w:rsidRPr="0021464B">
              <w:t>Successful pieces of work could be published as part of an eP in the context of seeking employment, entering writing competitions or as collections of written works by individual</w:t>
            </w:r>
            <w:r w:rsidR="00812CF7" w:rsidRPr="0021464B">
              <w:t>s</w:t>
            </w:r>
            <w:r w:rsidRPr="0021464B">
              <w:t xml:space="preserve"> </w:t>
            </w:r>
            <w:r w:rsidR="00B578FA" w:rsidRPr="0021464B">
              <w:t xml:space="preserve">or groups of </w:t>
            </w:r>
            <w:r w:rsidRPr="0021464B">
              <w:t>students</w:t>
            </w:r>
            <w:proofErr w:type="gramEnd"/>
            <w:r w:rsidRPr="0021464B">
              <w:t xml:space="preserve">.  </w:t>
            </w:r>
          </w:p>
        </w:tc>
      </w:tr>
    </w:tbl>
    <w:p w14:paraId="1B07DAEC" w14:textId="77777777" w:rsidR="006B60F3" w:rsidRPr="0021464B" w:rsidRDefault="006B60F3" w:rsidP="00EB2435">
      <w:pPr>
        <w:rPr>
          <w:b/>
        </w:rPr>
      </w:pPr>
    </w:p>
    <w:p w14:paraId="31FBB3E2" w14:textId="77777777" w:rsidR="0021464B" w:rsidRDefault="0021464B" w:rsidP="00EB2435">
      <w:pPr>
        <w:rPr>
          <w:rStyle w:val="Strong"/>
        </w:rPr>
      </w:pPr>
      <w:r>
        <w:rPr>
          <w:rStyle w:val="Strong"/>
        </w:rPr>
        <w:br w:type="page"/>
      </w:r>
    </w:p>
    <w:p w14:paraId="5F10267D" w14:textId="759A0D43" w:rsidR="00EB2435" w:rsidRPr="0021464B" w:rsidRDefault="00EB2435" w:rsidP="00EB2435">
      <w:pPr>
        <w:rPr>
          <w:b/>
        </w:rPr>
      </w:pPr>
      <w:r w:rsidRPr="0021464B">
        <w:rPr>
          <w:b/>
        </w:rPr>
        <w:lastRenderedPageBreak/>
        <w:t xml:space="preserve">Program: </w:t>
      </w:r>
      <w:r w:rsidRPr="0021464B">
        <w:t>MBMC (Bachelor of Communication: Media and Culture)</w:t>
      </w:r>
    </w:p>
    <w:p w14:paraId="09A17DED" w14:textId="77777777" w:rsidR="00B76D84" w:rsidRPr="0021464B" w:rsidRDefault="00EC0E74">
      <w:pPr>
        <w:rPr>
          <w:b/>
        </w:rPr>
      </w:pPr>
      <w:r w:rsidRPr="0021464B">
        <w:rPr>
          <w:b/>
        </w:rPr>
        <w:t>First Year (SP5)</w:t>
      </w:r>
      <w:r w:rsidR="00FA1EFC" w:rsidRPr="0021464B">
        <w:rPr>
          <w:b/>
        </w:rPr>
        <w:t xml:space="preserve"> – </w:t>
      </w:r>
      <w:r w:rsidR="00617F14" w:rsidRPr="0021464B">
        <w:rPr>
          <w:b/>
        </w:rPr>
        <w:t>Level 1</w:t>
      </w:r>
      <w:r w:rsidR="00812CF7" w:rsidRPr="0021464B">
        <w:rPr>
          <w:b/>
        </w:rPr>
        <w:t>:</w:t>
      </w:r>
      <w:r w:rsidR="00617F14" w:rsidRPr="0021464B">
        <w:rPr>
          <w:b/>
        </w:rPr>
        <w:t xml:space="preserve"> Collection and Archive</w:t>
      </w:r>
    </w:p>
    <w:tbl>
      <w:tblPr>
        <w:tblStyle w:val="TableGrid"/>
        <w:tblW w:w="0" w:type="auto"/>
        <w:tblLook w:val="04A0" w:firstRow="1" w:lastRow="0" w:firstColumn="1" w:lastColumn="0" w:noHBand="0" w:noVBand="1"/>
      </w:tblPr>
      <w:tblGrid>
        <w:gridCol w:w="3369"/>
        <w:gridCol w:w="5953"/>
      </w:tblGrid>
      <w:tr w:rsidR="00735387" w:rsidRPr="0021464B" w14:paraId="7FBDB408" w14:textId="77777777" w:rsidTr="006731E2">
        <w:tc>
          <w:tcPr>
            <w:tcW w:w="3369" w:type="dxa"/>
          </w:tcPr>
          <w:p w14:paraId="1368B1E3" w14:textId="77777777" w:rsidR="00735387" w:rsidRPr="0021464B" w:rsidRDefault="00735387" w:rsidP="00BA2D23">
            <w:pPr>
              <w:spacing w:before="40" w:after="40"/>
              <w:rPr>
                <w:b/>
              </w:rPr>
            </w:pPr>
            <w:r w:rsidRPr="0021464B">
              <w:rPr>
                <w:b/>
              </w:rPr>
              <w:t>Course</w:t>
            </w:r>
          </w:p>
        </w:tc>
        <w:tc>
          <w:tcPr>
            <w:tcW w:w="5953" w:type="dxa"/>
          </w:tcPr>
          <w:p w14:paraId="327CFB33" w14:textId="77777777" w:rsidR="00735387" w:rsidRPr="0021464B" w:rsidRDefault="008869CF" w:rsidP="00BA2D23">
            <w:pPr>
              <w:spacing w:before="40" w:after="40"/>
              <w:rPr>
                <w:b/>
              </w:rPr>
            </w:pPr>
            <w:r w:rsidRPr="0021464B">
              <w:rPr>
                <w:b/>
              </w:rPr>
              <w:t xml:space="preserve">Mahara </w:t>
            </w:r>
            <w:r w:rsidR="00BA2D23" w:rsidRPr="0021464B">
              <w:rPr>
                <w:b/>
              </w:rPr>
              <w:t xml:space="preserve">ePortfolio </w:t>
            </w:r>
            <w:r w:rsidR="00EB2435" w:rsidRPr="0021464B">
              <w:rPr>
                <w:b/>
              </w:rPr>
              <w:t>usage</w:t>
            </w:r>
          </w:p>
        </w:tc>
      </w:tr>
      <w:tr w:rsidR="00735387" w:rsidRPr="0021464B" w14:paraId="4E040FFA" w14:textId="77777777" w:rsidTr="006731E2">
        <w:tc>
          <w:tcPr>
            <w:tcW w:w="3369" w:type="dxa"/>
          </w:tcPr>
          <w:p w14:paraId="2BB09550" w14:textId="77777777" w:rsidR="00735387" w:rsidRPr="0021464B" w:rsidRDefault="008621FF" w:rsidP="00BA2D23">
            <w:pPr>
              <w:spacing w:before="40" w:after="40"/>
            </w:pPr>
            <w:r w:rsidRPr="0021464B">
              <w:t xml:space="preserve">Screen Matters: Film, Television and New Media </w:t>
            </w:r>
          </w:p>
        </w:tc>
        <w:tc>
          <w:tcPr>
            <w:tcW w:w="5953" w:type="dxa"/>
          </w:tcPr>
          <w:p w14:paraId="305CE206" w14:textId="38B33BC5" w:rsidR="008D40AE" w:rsidRPr="0021464B" w:rsidRDefault="0024360B" w:rsidP="00BA2D23">
            <w:pPr>
              <w:spacing w:before="40" w:after="40"/>
            </w:pPr>
            <w:r w:rsidRPr="0021464B">
              <w:rPr>
                <w:b/>
              </w:rPr>
              <w:t xml:space="preserve">Textual Analysis &amp; Discussion. </w:t>
            </w:r>
            <w:r w:rsidR="000264D3" w:rsidRPr="0021464B">
              <w:t>This course requires close</w:t>
            </w:r>
            <w:r w:rsidR="00200F30" w:rsidRPr="0021464B">
              <w:t>, critical</w:t>
            </w:r>
            <w:r w:rsidR="000264D3" w:rsidRPr="0021464B">
              <w:t xml:space="preserve"> reading of various film, television and new media items. This</w:t>
            </w:r>
            <w:r w:rsidR="00914D3B" w:rsidRPr="0021464B">
              <w:t xml:space="preserve"> </w:t>
            </w:r>
            <w:r w:rsidR="00D55DD0" w:rsidRPr="0021464B">
              <w:t>could be easy facilitated by</w:t>
            </w:r>
            <w:r w:rsidR="00914D3B" w:rsidRPr="0021464B">
              <w:t xml:space="preserve"> the </w:t>
            </w:r>
            <w:r w:rsidR="006C65C4" w:rsidRPr="0021464B">
              <w:t>creation</w:t>
            </w:r>
            <w:r w:rsidR="00914D3B" w:rsidRPr="0021464B">
              <w:t xml:space="preserve"> </w:t>
            </w:r>
            <w:r w:rsidR="006C65C4" w:rsidRPr="0021464B">
              <w:t>of a view</w:t>
            </w:r>
            <w:r w:rsidR="002E0369" w:rsidRPr="0021464B">
              <w:rPr>
                <w:rStyle w:val="FootnoteReference"/>
              </w:rPr>
              <w:footnoteReference w:id="3"/>
            </w:r>
            <w:r w:rsidR="006C65C4" w:rsidRPr="0021464B">
              <w:t xml:space="preserve"> with an embedded </w:t>
            </w:r>
            <w:r w:rsidR="00DB1BA4" w:rsidRPr="0021464B">
              <w:t xml:space="preserve">multimedia </w:t>
            </w:r>
            <w:r w:rsidR="00CA6BAD" w:rsidRPr="0021464B">
              <w:t>file</w:t>
            </w:r>
            <w:r w:rsidR="00DB1BA4" w:rsidRPr="0021464B">
              <w:t xml:space="preserve"> or with links to various externally hosted media</w:t>
            </w:r>
            <w:r w:rsidR="00CA6BAD" w:rsidRPr="0021464B">
              <w:t xml:space="preserve">. </w:t>
            </w:r>
            <w:r w:rsidR="006C65C4" w:rsidRPr="0021464B">
              <w:t xml:space="preserve">The feedback function at the bottom of each </w:t>
            </w:r>
            <w:r w:rsidR="001A619E" w:rsidRPr="0021464B">
              <w:t xml:space="preserve">eP </w:t>
            </w:r>
            <w:r w:rsidR="006C65C4" w:rsidRPr="0021464B">
              <w:t xml:space="preserve">view page </w:t>
            </w:r>
            <w:r w:rsidR="008F411E" w:rsidRPr="0021464B">
              <w:t xml:space="preserve">would then allow for textual analysis and discussion of individual film clips. </w:t>
            </w:r>
          </w:p>
          <w:p w14:paraId="7657D05A" w14:textId="77777777" w:rsidR="008D40AE" w:rsidRPr="0021464B" w:rsidRDefault="008D40AE" w:rsidP="00BA2D23">
            <w:pPr>
              <w:spacing w:before="40" w:after="40"/>
              <w:rPr>
                <w:b/>
              </w:rPr>
            </w:pPr>
          </w:p>
          <w:p w14:paraId="21E0F42C" w14:textId="4FF9E7B7" w:rsidR="00AA1D46" w:rsidRPr="0021464B" w:rsidRDefault="00D55DD0" w:rsidP="001A619E">
            <w:pPr>
              <w:spacing w:before="40" w:after="40"/>
            </w:pPr>
            <w:r w:rsidRPr="0021464B">
              <w:t xml:space="preserve">One </w:t>
            </w:r>
            <w:r w:rsidR="00A23256" w:rsidRPr="0021464B">
              <w:t>aspect</w:t>
            </w:r>
            <w:r w:rsidRPr="0021464B">
              <w:t xml:space="preserve"> of </w:t>
            </w:r>
            <w:r w:rsidR="00A23256" w:rsidRPr="0021464B">
              <w:t xml:space="preserve">the </w:t>
            </w:r>
            <w:r w:rsidRPr="0021464B">
              <w:t>textual evaluation required in this course is the completion of a shot analysis</w:t>
            </w:r>
            <w:r w:rsidR="00AA1D46" w:rsidRPr="0021464B">
              <w:t xml:space="preserve"> of a short piece of film</w:t>
            </w:r>
            <w:r w:rsidRPr="0021464B">
              <w:t xml:space="preserve">. This is given to all students. </w:t>
            </w:r>
            <w:r w:rsidR="004E3D5A" w:rsidRPr="0021464B">
              <w:t xml:space="preserve">In Mahara a </w:t>
            </w:r>
            <w:r w:rsidR="00AA1D46" w:rsidRPr="0021464B">
              <w:t>‘</w:t>
            </w:r>
            <w:r w:rsidR="004E3D5A" w:rsidRPr="0021464B">
              <w:t>view</w:t>
            </w:r>
            <w:r w:rsidR="00AA1D46" w:rsidRPr="0021464B">
              <w:t>’</w:t>
            </w:r>
            <w:r w:rsidR="004E3D5A" w:rsidRPr="0021464B">
              <w:t xml:space="preserve"> </w:t>
            </w:r>
            <w:r w:rsidR="00AA1D46" w:rsidRPr="0021464B">
              <w:t>is</w:t>
            </w:r>
            <w:r w:rsidR="004E3D5A" w:rsidRPr="0021464B">
              <w:t xml:space="preserve"> analogous to a template, which is copyable and able t</w:t>
            </w:r>
            <w:r w:rsidR="00963A72" w:rsidRPr="0021464B">
              <w:t>o be distributed to other eP users</w:t>
            </w:r>
            <w:r w:rsidR="004E3D5A" w:rsidRPr="0021464B">
              <w:t xml:space="preserve">. </w:t>
            </w:r>
            <w:r w:rsidR="009F3A29" w:rsidRPr="0021464B">
              <w:t xml:space="preserve">This means that templates and </w:t>
            </w:r>
            <w:r w:rsidR="008D40AE" w:rsidRPr="0021464B">
              <w:t>proforma</w:t>
            </w:r>
            <w:r w:rsidR="009F3A29" w:rsidRPr="0021464B">
              <w:t xml:space="preserve"> type pages can be easily created and distributed by teaching staff. </w:t>
            </w:r>
            <w:r w:rsidR="00A23256" w:rsidRPr="0021464B">
              <w:t>In this instance the footage</w:t>
            </w:r>
            <w:r w:rsidRPr="0021464B">
              <w:t xml:space="preserve"> under analysis and the written analysis itself</w:t>
            </w:r>
            <w:r w:rsidR="00AA1D46" w:rsidRPr="0021464B">
              <w:t>,</w:t>
            </w:r>
            <w:r w:rsidR="00F71EF7" w:rsidRPr="0021464B">
              <w:t xml:space="preserve"> w</w:t>
            </w:r>
            <w:r w:rsidRPr="0021464B">
              <w:t xml:space="preserve">ould </w:t>
            </w:r>
            <w:r w:rsidR="00AA1D46" w:rsidRPr="0021464B">
              <w:t xml:space="preserve">both </w:t>
            </w:r>
            <w:r w:rsidR="00F71EF7" w:rsidRPr="0021464B">
              <w:t>appear in</w:t>
            </w:r>
            <w:r w:rsidRPr="0021464B">
              <w:t xml:space="preserve"> the same </w:t>
            </w:r>
            <w:proofErr w:type="gramStart"/>
            <w:r w:rsidR="00F71EF7" w:rsidRPr="0021464B">
              <w:t>view</w:t>
            </w:r>
            <w:r w:rsidR="00A911D7" w:rsidRPr="0021464B">
              <w:t>.</w:t>
            </w:r>
            <w:proofErr w:type="gramEnd"/>
            <w:r w:rsidR="00A911D7" w:rsidRPr="0021464B">
              <w:t xml:space="preserve"> </w:t>
            </w:r>
            <w:r w:rsidR="00B536AB" w:rsidRPr="0021464B">
              <w:t xml:space="preserve">In cases like this Mahara can facilitate collaborative practices and students can be exposed to the good/better/best analytical techniques of other students. </w:t>
            </w:r>
          </w:p>
        </w:tc>
      </w:tr>
      <w:tr w:rsidR="00735387" w:rsidRPr="0021464B" w14:paraId="6CF710E7" w14:textId="77777777" w:rsidTr="006731E2">
        <w:tc>
          <w:tcPr>
            <w:tcW w:w="3369" w:type="dxa"/>
          </w:tcPr>
          <w:p w14:paraId="0CE5DB6A" w14:textId="448C29BE" w:rsidR="00735387" w:rsidRPr="0021464B" w:rsidRDefault="008621FF" w:rsidP="00BA2D23">
            <w:pPr>
              <w:spacing w:before="40" w:after="40"/>
            </w:pPr>
            <w:r w:rsidRPr="0021464B">
              <w:t xml:space="preserve">Global </w:t>
            </w:r>
            <w:r w:rsidR="00692638" w:rsidRPr="0021464B">
              <w:t xml:space="preserve">Societies </w:t>
            </w:r>
          </w:p>
        </w:tc>
        <w:tc>
          <w:tcPr>
            <w:tcW w:w="5953" w:type="dxa"/>
          </w:tcPr>
          <w:p w14:paraId="691F3311" w14:textId="77777777" w:rsidR="00735387" w:rsidRPr="0021464B" w:rsidRDefault="00735387" w:rsidP="00BA2D23">
            <w:pPr>
              <w:spacing w:before="40" w:after="40"/>
            </w:pPr>
          </w:p>
        </w:tc>
      </w:tr>
      <w:tr w:rsidR="00735387" w:rsidRPr="0021464B" w14:paraId="1643EDAD" w14:textId="77777777" w:rsidTr="006731E2">
        <w:tc>
          <w:tcPr>
            <w:tcW w:w="3369" w:type="dxa"/>
          </w:tcPr>
          <w:p w14:paraId="5D50662D" w14:textId="77777777" w:rsidR="00735387" w:rsidRPr="0021464B" w:rsidRDefault="00EB2435" w:rsidP="00BA2D23">
            <w:pPr>
              <w:spacing w:before="40" w:after="40"/>
            </w:pPr>
            <w:r w:rsidRPr="0021464B">
              <w:t>Media Literacies</w:t>
            </w:r>
          </w:p>
        </w:tc>
        <w:tc>
          <w:tcPr>
            <w:tcW w:w="5953" w:type="dxa"/>
          </w:tcPr>
          <w:p w14:paraId="706CBAB7" w14:textId="77777777" w:rsidR="00735387" w:rsidRPr="0021464B" w:rsidRDefault="00735387" w:rsidP="00BA2D23">
            <w:pPr>
              <w:spacing w:before="40" w:after="40"/>
            </w:pPr>
          </w:p>
        </w:tc>
      </w:tr>
      <w:tr w:rsidR="00735387" w:rsidRPr="0021464B" w14:paraId="409BED41" w14:textId="77777777" w:rsidTr="006731E2">
        <w:tc>
          <w:tcPr>
            <w:tcW w:w="3369" w:type="dxa"/>
          </w:tcPr>
          <w:p w14:paraId="4701CE9A" w14:textId="77777777" w:rsidR="00735387" w:rsidRPr="0021464B" w:rsidRDefault="008621FF" w:rsidP="00BA2D23">
            <w:pPr>
              <w:spacing w:before="40" w:after="40"/>
            </w:pPr>
            <w:r w:rsidRPr="0021464B">
              <w:t>General Studies Sub-major 2</w:t>
            </w:r>
            <w:r w:rsidR="000C600C" w:rsidRPr="0021464B">
              <w:t xml:space="preserve"> (Creative Writing) </w:t>
            </w:r>
            <w:r w:rsidR="000C600C" w:rsidRPr="0021464B">
              <w:rPr>
                <w:i/>
              </w:rPr>
              <w:t>Writing and Reading Short Fiction</w:t>
            </w:r>
          </w:p>
        </w:tc>
        <w:tc>
          <w:tcPr>
            <w:tcW w:w="5953" w:type="dxa"/>
          </w:tcPr>
          <w:p w14:paraId="2B5FD219" w14:textId="77777777" w:rsidR="00AA1D46" w:rsidRPr="0021464B" w:rsidRDefault="007D47F9" w:rsidP="00BA2D23">
            <w:pPr>
              <w:spacing w:before="40" w:after="40"/>
            </w:pPr>
            <w:r w:rsidRPr="0021464B">
              <w:rPr>
                <w:b/>
              </w:rPr>
              <w:t>Collection &amp; Archiving.</w:t>
            </w:r>
            <w:r w:rsidRPr="0021464B">
              <w:t xml:space="preserve"> </w:t>
            </w:r>
            <w:r w:rsidR="00A4759C" w:rsidRPr="0021464B">
              <w:t>In this first year of study</w:t>
            </w:r>
            <w:r w:rsidR="001E2F5E" w:rsidRPr="0021464B">
              <w:t>,</w:t>
            </w:r>
            <w:r w:rsidR="00A4759C" w:rsidRPr="0021464B">
              <w:t xml:space="preserve"> and in line with Barrett’s idea of the firs</w:t>
            </w:r>
            <w:r w:rsidR="001E2F5E" w:rsidRPr="0021464B">
              <w:t>t level of eP use being one of c</w:t>
            </w:r>
            <w:r w:rsidR="00A4759C" w:rsidRPr="0021464B">
              <w:t>ollecting and archiving</w:t>
            </w:r>
            <w:r w:rsidR="001E2F5E" w:rsidRPr="0021464B">
              <w:t>,</w:t>
            </w:r>
            <w:r w:rsidR="00A4759C" w:rsidRPr="0021464B">
              <w:rPr>
                <w:i/>
              </w:rPr>
              <w:t xml:space="preserve"> </w:t>
            </w:r>
            <w:r w:rsidR="00AA1D46" w:rsidRPr="0021464B">
              <w:rPr>
                <w:i/>
              </w:rPr>
              <w:t xml:space="preserve">Creative Writing </w:t>
            </w:r>
            <w:r w:rsidR="00A4759C" w:rsidRPr="0021464B">
              <w:t xml:space="preserve">students </w:t>
            </w:r>
            <w:r w:rsidR="001E2F5E" w:rsidRPr="0021464B">
              <w:t xml:space="preserve">will continue to fill their eP’s with their work. </w:t>
            </w:r>
            <w:r w:rsidR="00F97E70" w:rsidRPr="0021464B">
              <w:t xml:space="preserve">Through the feedback function they can continue to trace the development of their work and to distribute it in any way </w:t>
            </w:r>
            <w:r w:rsidR="001A619E" w:rsidRPr="0021464B">
              <w:t xml:space="preserve">and to whomever </w:t>
            </w:r>
            <w:r w:rsidR="00F97E70" w:rsidRPr="0021464B">
              <w:t xml:space="preserve">they see fit. </w:t>
            </w:r>
          </w:p>
          <w:p w14:paraId="160BCEFE" w14:textId="77777777" w:rsidR="00AA1D46" w:rsidRPr="0021464B" w:rsidRDefault="00AA1D46" w:rsidP="00BA2D23">
            <w:pPr>
              <w:spacing w:before="40" w:after="40"/>
            </w:pPr>
          </w:p>
          <w:p w14:paraId="5E10ABCE" w14:textId="77777777" w:rsidR="00AA1D46" w:rsidRPr="0021464B" w:rsidRDefault="00F97E70" w:rsidP="00652537">
            <w:pPr>
              <w:spacing w:before="40" w:after="40"/>
            </w:pPr>
            <w:r w:rsidRPr="0021464B">
              <w:t xml:space="preserve">The creation of a blog as part of their profile/professional identity could also be a very effective use of their </w:t>
            </w:r>
            <w:r w:rsidR="00652537" w:rsidRPr="0021464B">
              <w:t xml:space="preserve">eP </w:t>
            </w:r>
            <w:r w:rsidR="00561C75" w:rsidRPr="0021464B">
              <w:t>especially as Mahara links easily with internally and externally created blogs. Recent posts can easily feed in to views in Mahara via RSS.</w:t>
            </w:r>
            <w:r w:rsidRPr="0021464B">
              <w:t xml:space="preserve"> </w:t>
            </w:r>
          </w:p>
        </w:tc>
      </w:tr>
    </w:tbl>
    <w:p w14:paraId="5BACFEB7" w14:textId="77777777" w:rsidR="0021464B" w:rsidRDefault="0021464B">
      <w:pPr>
        <w:rPr>
          <w:b/>
        </w:rPr>
      </w:pPr>
      <w:r>
        <w:rPr>
          <w:b/>
        </w:rPr>
        <w:br w:type="page"/>
      </w:r>
    </w:p>
    <w:p w14:paraId="78B5BD37" w14:textId="081D009B" w:rsidR="001C13F7" w:rsidRPr="0021464B" w:rsidRDefault="00F665F6">
      <w:r w:rsidRPr="0021464B">
        <w:rPr>
          <w:b/>
        </w:rPr>
        <w:lastRenderedPageBreak/>
        <w:t xml:space="preserve">Program: </w:t>
      </w:r>
      <w:r w:rsidRPr="0021464B">
        <w:t>MBMC (Bachelor of Communication: Media and Culture)</w:t>
      </w:r>
    </w:p>
    <w:p w14:paraId="6F28D460" w14:textId="77777777" w:rsidR="00CA500C" w:rsidRPr="0021464B" w:rsidRDefault="00CA500C">
      <w:pPr>
        <w:rPr>
          <w:b/>
        </w:rPr>
      </w:pPr>
      <w:r w:rsidRPr="0021464B">
        <w:rPr>
          <w:b/>
        </w:rPr>
        <w:t>Second Year (SP2)</w:t>
      </w:r>
      <w:r w:rsidR="0007799D" w:rsidRPr="0021464B">
        <w:rPr>
          <w:b/>
        </w:rPr>
        <w:t xml:space="preserve"> – </w:t>
      </w:r>
      <w:r w:rsidR="00F440B5" w:rsidRPr="0021464B">
        <w:rPr>
          <w:b/>
        </w:rPr>
        <w:t>Level 2</w:t>
      </w:r>
      <w:r w:rsidR="00812CF7" w:rsidRPr="0021464B">
        <w:rPr>
          <w:b/>
        </w:rPr>
        <w:t>:</w:t>
      </w:r>
      <w:r w:rsidR="00F440B5" w:rsidRPr="0021464B">
        <w:rPr>
          <w:b/>
        </w:rPr>
        <w:t xml:space="preserve"> </w:t>
      </w:r>
      <w:r w:rsidR="004C6BAF" w:rsidRPr="0021464B">
        <w:rPr>
          <w:b/>
        </w:rPr>
        <w:t>Reflection and F</w:t>
      </w:r>
      <w:r w:rsidR="00F440B5" w:rsidRPr="0021464B">
        <w:rPr>
          <w:b/>
        </w:rPr>
        <w:t>eedback</w:t>
      </w:r>
    </w:p>
    <w:tbl>
      <w:tblPr>
        <w:tblStyle w:val="TableGrid"/>
        <w:tblW w:w="0" w:type="auto"/>
        <w:tblLook w:val="04A0" w:firstRow="1" w:lastRow="0" w:firstColumn="1" w:lastColumn="0" w:noHBand="0" w:noVBand="1"/>
      </w:tblPr>
      <w:tblGrid>
        <w:gridCol w:w="3369"/>
        <w:gridCol w:w="5953"/>
      </w:tblGrid>
      <w:tr w:rsidR="001C13F7" w:rsidRPr="0021464B" w14:paraId="7A83B47E" w14:textId="77777777" w:rsidTr="008858C5">
        <w:tc>
          <w:tcPr>
            <w:tcW w:w="3369" w:type="dxa"/>
          </w:tcPr>
          <w:p w14:paraId="0C684836" w14:textId="77777777" w:rsidR="001C13F7" w:rsidRPr="0021464B" w:rsidRDefault="001C13F7" w:rsidP="00BA2D23">
            <w:pPr>
              <w:spacing w:before="40" w:after="40"/>
              <w:rPr>
                <w:b/>
              </w:rPr>
            </w:pPr>
            <w:r w:rsidRPr="0021464B">
              <w:rPr>
                <w:b/>
              </w:rPr>
              <w:t>Course</w:t>
            </w:r>
          </w:p>
        </w:tc>
        <w:tc>
          <w:tcPr>
            <w:tcW w:w="5953" w:type="dxa"/>
          </w:tcPr>
          <w:p w14:paraId="17A6F14C" w14:textId="77777777" w:rsidR="001C13F7" w:rsidRPr="0021464B" w:rsidRDefault="00EB2435" w:rsidP="00BA2D23">
            <w:pPr>
              <w:spacing w:before="40" w:after="40"/>
              <w:rPr>
                <w:b/>
              </w:rPr>
            </w:pPr>
            <w:r w:rsidRPr="0021464B">
              <w:rPr>
                <w:b/>
              </w:rPr>
              <w:t xml:space="preserve">Mahara </w:t>
            </w:r>
            <w:r w:rsidR="00BA2D23" w:rsidRPr="0021464B">
              <w:rPr>
                <w:b/>
              </w:rPr>
              <w:t xml:space="preserve">ePortfolio </w:t>
            </w:r>
            <w:r w:rsidRPr="0021464B">
              <w:rPr>
                <w:b/>
              </w:rPr>
              <w:t>usage</w:t>
            </w:r>
          </w:p>
        </w:tc>
      </w:tr>
      <w:tr w:rsidR="001C13F7" w:rsidRPr="0021464B" w14:paraId="2B5E1C4F" w14:textId="77777777" w:rsidTr="008858C5">
        <w:tc>
          <w:tcPr>
            <w:tcW w:w="3369" w:type="dxa"/>
          </w:tcPr>
          <w:p w14:paraId="29B03558" w14:textId="3C8BA545" w:rsidR="001C13F7" w:rsidRPr="0021464B" w:rsidRDefault="009766C6" w:rsidP="00BA2D23">
            <w:pPr>
              <w:spacing w:before="40" w:after="40"/>
            </w:pPr>
            <w:r w:rsidRPr="0021464B">
              <w:t xml:space="preserve">Culture, Place and </w:t>
            </w:r>
            <w:r w:rsidR="0094449D" w:rsidRPr="0021464B">
              <w:t xml:space="preserve">Meaning </w:t>
            </w:r>
          </w:p>
        </w:tc>
        <w:tc>
          <w:tcPr>
            <w:tcW w:w="5953" w:type="dxa"/>
          </w:tcPr>
          <w:p w14:paraId="67FB3646" w14:textId="77777777" w:rsidR="001C13F7" w:rsidRPr="0021464B" w:rsidRDefault="001C13F7" w:rsidP="00BA2D23">
            <w:pPr>
              <w:spacing w:before="40" w:after="40"/>
            </w:pPr>
          </w:p>
        </w:tc>
      </w:tr>
      <w:tr w:rsidR="001C13F7" w:rsidRPr="0021464B" w14:paraId="255C1C75" w14:textId="77777777" w:rsidTr="008858C5">
        <w:tc>
          <w:tcPr>
            <w:tcW w:w="3369" w:type="dxa"/>
          </w:tcPr>
          <w:p w14:paraId="5470C65C" w14:textId="77777777" w:rsidR="001C13F7" w:rsidRPr="0021464B" w:rsidRDefault="009766C6" w:rsidP="00BA2D23">
            <w:pPr>
              <w:spacing w:before="40" w:after="40"/>
            </w:pPr>
            <w:r w:rsidRPr="0021464B">
              <w:t>Professional Major Option 1</w:t>
            </w:r>
          </w:p>
          <w:p w14:paraId="05769217" w14:textId="77777777" w:rsidR="0067135E" w:rsidRPr="0021464B" w:rsidRDefault="0067135E" w:rsidP="00BA2D23">
            <w:pPr>
              <w:spacing w:before="40" w:after="40"/>
              <w:rPr>
                <w:i/>
              </w:rPr>
            </w:pPr>
            <w:r w:rsidRPr="0021464B">
              <w:rPr>
                <w:i/>
              </w:rPr>
              <w:t>Multi-Mediations: Social and Cultural Uses of the New Media</w:t>
            </w:r>
          </w:p>
        </w:tc>
        <w:tc>
          <w:tcPr>
            <w:tcW w:w="5953" w:type="dxa"/>
          </w:tcPr>
          <w:p w14:paraId="30CF2797" w14:textId="6B0E612B" w:rsidR="001C13F7" w:rsidRPr="0021464B" w:rsidRDefault="00B4009C" w:rsidP="00BA2D23">
            <w:pPr>
              <w:spacing w:before="40" w:after="40"/>
            </w:pPr>
            <w:proofErr w:type="gramStart"/>
            <w:r w:rsidRPr="0021464B">
              <w:rPr>
                <w:b/>
              </w:rPr>
              <w:t>ePortfolio</w:t>
            </w:r>
            <w:proofErr w:type="gramEnd"/>
            <w:r w:rsidRPr="0021464B">
              <w:rPr>
                <w:b/>
              </w:rPr>
              <w:t xml:space="preserve"> Project.</w:t>
            </w:r>
            <w:r w:rsidR="00F440B5" w:rsidRPr="0021464B">
              <w:rPr>
                <w:b/>
              </w:rPr>
              <w:t xml:space="preserve"> </w:t>
            </w:r>
            <w:proofErr w:type="gramStart"/>
            <w:r w:rsidR="00F440B5" w:rsidRPr="0021464B">
              <w:t>eP’s</w:t>
            </w:r>
            <w:proofErr w:type="gramEnd"/>
            <w:r w:rsidR="00F440B5" w:rsidRPr="0021464B">
              <w:t xml:space="preserve"> can form</w:t>
            </w:r>
            <w:r w:rsidR="004675B5" w:rsidRPr="0021464B">
              <w:t xml:space="preserve"> part of a student’s </w:t>
            </w:r>
            <w:r w:rsidR="00F440B5" w:rsidRPr="0021464B">
              <w:t>online iden</w:t>
            </w:r>
            <w:r w:rsidR="00F469F5" w:rsidRPr="0021464B">
              <w:t>tity and as such could be considered as part of the</w:t>
            </w:r>
            <w:r w:rsidR="00B847E6" w:rsidRPr="0021464B">
              <w:t xml:space="preserve"> broader</w:t>
            </w:r>
            <w:r w:rsidR="00F469F5" w:rsidRPr="0021464B">
              <w:t xml:space="preserve"> narrative of their tertiary teaching and learning experience. This narrative may also form part of what the student want</w:t>
            </w:r>
            <w:r w:rsidR="00FF3773" w:rsidRPr="0021464B">
              <w:t>s</w:t>
            </w:r>
            <w:r w:rsidR="00F469F5" w:rsidRPr="0021464B">
              <w:t xml:space="preserve"> to present about themselves at the completion of </w:t>
            </w:r>
            <w:r w:rsidR="00430473" w:rsidRPr="0021464B">
              <w:t>their</w:t>
            </w:r>
            <w:r w:rsidR="00F469F5" w:rsidRPr="0021464B">
              <w:t xml:space="preserve"> studies. </w:t>
            </w:r>
            <w:r w:rsidR="007138F9" w:rsidRPr="0021464B">
              <w:t xml:space="preserve">This idea is an exemplar of the kinds of themes discussed in this course and could </w:t>
            </w:r>
            <w:r w:rsidR="00D44E26" w:rsidRPr="0021464B">
              <w:t xml:space="preserve">be </w:t>
            </w:r>
            <w:r w:rsidR="007138F9" w:rsidRPr="0021464B">
              <w:t xml:space="preserve">explored by students further through the creation of an ePortfolio project detailing a part of their lives or experiences. </w:t>
            </w:r>
          </w:p>
          <w:p w14:paraId="162E9E48" w14:textId="77777777" w:rsidR="007F27E6" w:rsidRPr="0021464B" w:rsidRDefault="007F27E6" w:rsidP="00BA2D23">
            <w:pPr>
              <w:spacing w:before="40" w:after="40"/>
            </w:pPr>
          </w:p>
          <w:p w14:paraId="157ADC24" w14:textId="6B2B1F5C" w:rsidR="001C13F7" w:rsidRPr="0021464B" w:rsidRDefault="007F27E6" w:rsidP="00BA2D23">
            <w:pPr>
              <w:spacing w:before="40" w:after="40"/>
            </w:pPr>
            <w:r w:rsidRPr="0021464B">
              <w:t>Mahara</w:t>
            </w:r>
            <w:r w:rsidR="00842E61" w:rsidRPr="0021464B">
              <w:t xml:space="preserve"> also</w:t>
            </w:r>
            <w:r w:rsidRPr="0021464B">
              <w:t xml:space="preserve"> provides an easy way to create linkages to other elements of a </w:t>
            </w:r>
            <w:r w:rsidR="00842E61" w:rsidRPr="0021464B">
              <w:t xml:space="preserve">student’s online presence </w:t>
            </w:r>
            <w:r w:rsidR="00F54E40" w:rsidRPr="0021464B">
              <w:t>(</w:t>
            </w:r>
            <w:r w:rsidR="00842E61" w:rsidRPr="0021464B">
              <w:t xml:space="preserve">e.g. </w:t>
            </w:r>
            <w:r w:rsidR="00F54E40" w:rsidRPr="0021464B">
              <w:rPr>
                <w:i/>
              </w:rPr>
              <w:t>YouTube, Flickr, Slideshare, G</w:t>
            </w:r>
            <w:r w:rsidR="00842E61" w:rsidRPr="0021464B">
              <w:rPr>
                <w:i/>
              </w:rPr>
              <w:t>oogledocs</w:t>
            </w:r>
            <w:r w:rsidR="00F54E40" w:rsidRPr="0021464B">
              <w:rPr>
                <w:i/>
              </w:rPr>
              <w:t>)</w:t>
            </w:r>
            <w:r w:rsidR="00842E61" w:rsidRPr="0021464B">
              <w:t xml:space="preserve"> and so can be a conduit for an individual students talents and interests. </w:t>
            </w:r>
          </w:p>
        </w:tc>
      </w:tr>
      <w:tr w:rsidR="001C13F7" w:rsidRPr="0021464B" w14:paraId="64D5D3C5" w14:textId="77777777" w:rsidTr="008858C5">
        <w:tc>
          <w:tcPr>
            <w:tcW w:w="3369" w:type="dxa"/>
          </w:tcPr>
          <w:p w14:paraId="59BC8400" w14:textId="77777777" w:rsidR="001C13F7" w:rsidRPr="0021464B" w:rsidRDefault="009766C6" w:rsidP="00BA2D23">
            <w:pPr>
              <w:spacing w:before="40" w:after="40"/>
            </w:pPr>
            <w:r w:rsidRPr="0021464B">
              <w:t>General Studies Sub-major 3</w:t>
            </w:r>
          </w:p>
          <w:p w14:paraId="3020E97D" w14:textId="77777777" w:rsidR="006D5A08" w:rsidRPr="0021464B" w:rsidRDefault="006D5A08" w:rsidP="00BA2D23">
            <w:pPr>
              <w:spacing w:before="40" w:after="40"/>
            </w:pPr>
            <w:r w:rsidRPr="0021464B">
              <w:t>(Creative Writing)</w:t>
            </w:r>
          </w:p>
          <w:p w14:paraId="79AA330E" w14:textId="77777777" w:rsidR="006D5A08" w:rsidRPr="0021464B" w:rsidRDefault="006D5A08" w:rsidP="00BA2D23">
            <w:pPr>
              <w:spacing w:before="40" w:after="40"/>
              <w:rPr>
                <w:i/>
              </w:rPr>
            </w:pPr>
            <w:r w:rsidRPr="0021464B">
              <w:rPr>
                <w:i/>
              </w:rPr>
              <w:t>Creative Writing Practice</w:t>
            </w:r>
          </w:p>
        </w:tc>
        <w:tc>
          <w:tcPr>
            <w:tcW w:w="5953" w:type="dxa"/>
          </w:tcPr>
          <w:p w14:paraId="11758757" w14:textId="77777777" w:rsidR="001C13F7" w:rsidRPr="0021464B" w:rsidRDefault="00A4759C" w:rsidP="00585FFA">
            <w:pPr>
              <w:spacing w:before="40" w:after="40"/>
            </w:pPr>
            <w:r w:rsidRPr="0021464B">
              <w:rPr>
                <w:b/>
              </w:rPr>
              <w:t>Reflective Practice &amp; Feedback.</w:t>
            </w:r>
            <w:r w:rsidRPr="0021464B">
              <w:t xml:space="preserve"> This would see a continuation of the practice of reflection started in the first year of this sub-major. Students could continue to publish their written work as part of their writing portfolio and as part of the process of collecting and archiving material for future eP </w:t>
            </w:r>
            <w:r w:rsidR="00585FFA" w:rsidRPr="0021464B">
              <w:t xml:space="preserve">presentation. This could be an opportunity to showcase explicit developmental progression by requiring students to work with/on a piece of writing they did in the first year of the program. </w:t>
            </w:r>
          </w:p>
        </w:tc>
      </w:tr>
      <w:tr w:rsidR="001C13F7" w:rsidRPr="0021464B" w14:paraId="05833848" w14:textId="77777777" w:rsidTr="008858C5">
        <w:tc>
          <w:tcPr>
            <w:tcW w:w="3369" w:type="dxa"/>
          </w:tcPr>
          <w:p w14:paraId="7A2A0B1F" w14:textId="77777777" w:rsidR="001C13F7" w:rsidRPr="0021464B" w:rsidRDefault="009766C6" w:rsidP="00BA2D23">
            <w:pPr>
              <w:spacing w:before="40" w:after="40"/>
            </w:pPr>
            <w:r w:rsidRPr="0021464B">
              <w:t>Communication, Culture and Indigenous Australians</w:t>
            </w:r>
          </w:p>
        </w:tc>
        <w:tc>
          <w:tcPr>
            <w:tcW w:w="5953" w:type="dxa"/>
          </w:tcPr>
          <w:p w14:paraId="39F9AD4E" w14:textId="77777777" w:rsidR="001C13F7" w:rsidRPr="0021464B" w:rsidRDefault="001C13F7" w:rsidP="00BA2D23">
            <w:pPr>
              <w:spacing w:before="40" w:after="40"/>
            </w:pPr>
          </w:p>
          <w:p w14:paraId="3A7A6BB8" w14:textId="77777777" w:rsidR="001C13F7" w:rsidRPr="0021464B" w:rsidRDefault="001C13F7" w:rsidP="00BA2D23">
            <w:pPr>
              <w:spacing w:before="40" w:after="40"/>
            </w:pPr>
          </w:p>
        </w:tc>
      </w:tr>
    </w:tbl>
    <w:p w14:paraId="1612CBBF" w14:textId="77777777" w:rsidR="001C13F7" w:rsidRPr="0021464B" w:rsidRDefault="001C13F7"/>
    <w:p w14:paraId="6A1F0A98" w14:textId="77777777" w:rsidR="008426DA" w:rsidRPr="0021464B" w:rsidRDefault="008426DA">
      <w:pPr>
        <w:rPr>
          <w:b/>
        </w:rPr>
      </w:pPr>
      <w:r w:rsidRPr="0021464B">
        <w:rPr>
          <w:b/>
        </w:rPr>
        <w:br w:type="page"/>
      </w:r>
    </w:p>
    <w:p w14:paraId="43E64980" w14:textId="77777777" w:rsidR="00547699" w:rsidRPr="0021464B" w:rsidRDefault="00547699" w:rsidP="00547699">
      <w:pPr>
        <w:rPr>
          <w:b/>
        </w:rPr>
      </w:pPr>
      <w:r w:rsidRPr="0021464B">
        <w:rPr>
          <w:b/>
        </w:rPr>
        <w:lastRenderedPageBreak/>
        <w:t xml:space="preserve">Program: </w:t>
      </w:r>
      <w:r w:rsidRPr="0021464B">
        <w:t>MBMC (Bachelor of Communication: Media and Culture)</w:t>
      </w:r>
    </w:p>
    <w:p w14:paraId="749E9CFF" w14:textId="77777777" w:rsidR="00CA500C" w:rsidRPr="0021464B" w:rsidRDefault="00CA500C">
      <w:pPr>
        <w:rPr>
          <w:b/>
        </w:rPr>
      </w:pPr>
      <w:r w:rsidRPr="0021464B">
        <w:rPr>
          <w:b/>
        </w:rPr>
        <w:t>Second Year (SP5)</w:t>
      </w:r>
      <w:r w:rsidR="0007799D" w:rsidRPr="0021464B">
        <w:rPr>
          <w:b/>
        </w:rPr>
        <w:t xml:space="preserve"> – </w:t>
      </w:r>
      <w:r w:rsidR="00F440B5" w:rsidRPr="0021464B">
        <w:rPr>
          <w:b/>
        </w:rPr>
        <w:t>Level 2</w:t>
      </w:r>
      <w:r w:rsidR="00812CF7" w:rsidRPr="0021464B">
        <w:rPr>
          <w:b/>
        </w:rPr>
        <w:t>:</w:t>
      </w:r>
      <w:r w:rsidR="00F440B5" w:rsidRPr="0021464B">
        <w:rPr>
          <w:b/>
        </w:rPr>
        <w:t xml:space="preserve"> </w:t>
      </w:r>
      <w:r w:rsidR="004C6BAF" w:rsidRPr="0021464B">
        <w:rPr>
          <w:b/>
        </w:rPr>
        <w:t>Reflection and F</w:t>
      </w:r>
      <w:r w:rsidR="00F440B5" w:rsidRPr="0021464B">
        <w:rPr>
          <w:b/>
        </w:rPr>
        <w:t>eedback</w:t>
      </w:r>
    </w:p>
    <w:tbl>
      <w:tblPr>
        <w:tblStyle w:val="TableGrid"/>
        <w:tblW w:w="0" w:type="auto"/>
        <w:tblLook w:val="04A0" w:firstRow="1" w:lastRow="0" w:firstColumn="1" w:lastColumn="0" w:noHBand="0" w:noVBand="1"/>
      </w:tblPr>
      <w:tblGrid>
        <w:gridCol w:w="3369"/>
        <w:gridCol w:w="5953"/>
      </w:tblGrid>
      <w:tr w:rsidR="001C13F7" w:rsidRPr="0021464B" w14:paraId="3FB7508C" w14:textId="77777777" w:rsidTr="008858C5">
        <w:tc>
          <w:tcPr>
            <w:tcW w:w="3369" w:type="dxa"/>
          </w:tcPr>
          <w:p w14:paraId="03F9D941" w14:textId="77777777" w:rsidR="001C13F7" w:rsidRPr="0021464B" w:rsidRDefault="001C13F7" w:rsidP="00BA2D23">
            <w:pPr>
              <w:spacing w:before="40" w:after="40"/>
              <w:rPr>
                <w:b/>
              </w:rPr>
            </w:pPr>
            <w:r w:rsidRPr="0021464B">
              <w:rPr>
                <w:b/>
              </w:rPr>
              <w:t>Course</w:t>
            </w:r>
          </w:p>
        </w:tc>
        <w:tc>
          <w:tcPr>
            <w:tcW w:w="5953" w:type="dxa"/>
          </w:tcPr>
          <w:p w14:paraId="23103468" w14:textId="77777777" w:rsidR="001C13F7" w:rsidRPr="0021464B" w:rsidRDefault="001C13F7" w:rsidP="00BA2D23">
            <w:pPr>
              <w:spacing w:before="40" w:after="40"/>
              <w:rPr>
                <w:b/>
              </w:rPr>
            </w:pPr>
            <w:r w:rsidRPr="0021464B">
              <w:rPr>
                <w:b/>
              </w:rPr>
              <w:t xml:space="preserve">Mahara </w:t>
            </w:r>
            <w:r w:rsidR="00BA2D23" w:rsidRPr="0021464B">
              <w:rPr>
                <w:b/>
              </w:rPr>
              <w:t xml:space="preserve">ePortfolio </w:t>
            </w:r>
            <w:r w:rsidR="00EB2435" w:rsidRPr="0021464B">
              <w:rPr>
                <w:b/>
              </w:rPr>
              <w:t>usage</w:t>
            </w:r>
          </w:p>
        </w:tc>
      </w:tr>
      <w:tr w:rsidR="001C13F7" w:rsidRPr="0021464B" w14:paraId="26EA3D65" w14:textId="77777777" w:rsidTr="008858C5">
        <w:tc>
          <w:tcPr>
            <w:tcW w:w="3369" w:type="dxa"/>
          </w:tcPr>
          <w:p w14:paraId="7699F1BC" w14:textId="77777777" w:rsidR="001C13F7" w:rsidRPr="0021464B" w:rsidRDefault="009766C6" w:rsidP="00BA2D23">
            <w:pPr>
              <w:spacing w:before="40" w:after="40"/>
            </w:pPr>
            <w:r w:rsidRPr="0021464B">
              <w:t xml:space="preserve">Creative Industries and Ethics </w:t>
            </w:r>
          </w:p>
        </w:tc>
        <w:tc>
          <w:tcPr>
            <w:tcW w:w="5953" w:type="dxa"/>
          </w:tcPr>
          <w:p w14:paraId="0ADBA233" w14:textId="77777777" w:rsidR="001C13F7" w:rsidRPr="0021464B" w:rsidRDefault="001C13F7" w:rsidP="00BA2D23">
            <w:pPr>
              <w:spacing w:before="40" w:after="40"/>
            </w:pPr>
          </w:p>
        </w:tc>
      </w:tr>
      <w:tr w:rsidR="001C13F7" w:rsidRPr="0021464B" w14:paraId="1EBD2E02" w14:textId="77777777" w:rsidTr="008858C5">
        <w:tc>
          <w:tcPr>
            <w:tcW w:w="3369" w:type="dxa"/>
          </w:tcPr>
          <w:p w14:paraId="03420E62" w14:textId="77777777" w:rsidR="001C13F7" w:rsidRPr="0021464B" w:rsidRDefault="009766C6" w:rsidP="00BA2D23">
            <w:pPr>
              <w:spacing w:before="40" w:after="40"/>
            </w:pPr>
            <w:r w:rsidRPr="0021464B">
              <w:t>General Studies Sub-major 4</w:t>
            </w:r>
          </w:p>
          <w:p w14:paraId="182E6C0B" w14:textId="77777777" w:rsidR="006D5A08" w:rsidRPr="0021464B" w:rsidRDefault="006D5A08" w:rsidP="00BA2D23">
            <w:pPr>
              <w:spacing w:before="40" w:after="40"/>
            </w:pPr>
            <w:r w:rsidRPr="0021464B">
              <w:t>(Creative Writing)</w:t>
            </w:r>
          </w:p>
          <w:p w14:paraId="47F39C71" w14:textId="77777777" w:rsidR="006D5A08" w:rsidRPr="0021464B" w:rsidRDefault="007B526C" w:rsidP="00BA2D23">
            <w:pPr>
              <w:spacing w:before="40" w:after="40"/>
              <w:rPr>
                <w:i/>
              </w:rPr>
            </w:pPr>
            <w:r w:rsidRPr="0021464B">
              <w:rPr>
                <w:i/>
              </w:rPr>
              <w:t>Writing and Reading Poetry</w:t>
            </w:r>
          </w:p>
        </w:tc>
        <w:tc>
          <w:tcPr>
            <w:tcW w:w="5953" w:type="dxa"/>
          </w:tcPr>
          <w:p w14:paraId="67C57F9A" w14:textId="77777777" w:rsidR="000E34C9" w:rsidRPr="0021464B" w:rsidRDefault="00F440B5" w:rsidP="00B608DD">
            <w:pPr>
              <w:spacing w:before="40" w:after="40"/>
            </w:pPr>
            <w:r w:rsidRPr="0021464B">
              <w:rPr>
                <w:b/>
              </w:rPr>
              <w:t>Reflective Practice &amp; Feedback.</w:t>
            </w:r>
            <w:r w:rsidR="00CC2765" w:rsidRPr="0021464B">
              <w:t xml:space="preserve"> This</w:t>
            </w:r>
            <w:r w:rsidR="00B608DD" w:rsidRPr="0021464B">
              <w:t>, too,</w:t>
            </w:r>
            <w:r w:rsidR="00CC2765" w:rsidRPr="0021464B">
              <w:t xml:space="preserve"> would see a continuation of the practice of reflection started in the first </w:t>
            </w:r>
            <w:r w:rsidR="00E85E0A" w:rsidRPr="0021464B">
              <w:t>year</w:t>
            </w:r>
            <w:r w:rsidR="00CC2765" w:rsidRPr="0021464B">
              <w:t xml:space="preserve"> of this sub-major. Students could continue to publish their written work as part of their writing portfolio and as part of the process of collecting and archiving material for future eP presentation.</w:t>
            </w:r>
            <w:r w:rsidR="000F4BBF" w:rsidRPr="0021464B">
              <w:t xml:space="preserve"> </w:t>
            </w:r>
            <w:r w:rsidR="00B608DD" w:rsidRPr="0021464B">
              <w:t xml:space="preserve">In addition, </w:t>
            </w:r>
            <w:proofErr w:type="gramStart"/>
            <w:r w:rsidR="00B608DD" w:rsidRPr="0021464B">
              <w:t>d</w:t>
            </w:r>
            <w:r w:rsidR="00D90ABF" w:rsidRPr="0021464B">
              <w:t xml:space="preserve">etailed feedback would also be given by </w:t>
            </w:r>
            <w:r w:rsidR="00B608DD" w:rsidRPr="0021464B">
              <w:t xml:space="preserve">peers </w:t>
            </w:r>
            <w:r w:rsidR="00D90ABF" w:rsidRPr="0021464B">
              <w:t>and</w:t>
            </w:r>
            <w:r w:rsidR="00B608DD" w:rsidRPr="0021464B">
              <w:t xml:space="preserve"> academic</w:t>
            </w:r>
            <w:r w:rsidR="00D90ABF" w:rsidRPr="0021464B">
              <w:t xml:space="preserve"> staff</w:t>
            </w:r>
            <w:proofErr w:type="gramEnd"/>
            <w:r w:rsidR="00D90ABF" w:rsidRPr="0021464B">
              <w:t xml:space="preserve"> and this could provide an opportunity to use ‘groups’ and a student’s network of ‘friends’ to explicitly structure the feedback process. </w:t>
            </w:r>
          </w:p>
        </w:tc>
      </w:tr>
      <w:tr w:rsidR="001C13F7" w:rsidRPr="0021464B" w14:paraId="6825C86A" w14:textId="77777777" w:rsidTr="008858C5">
        <w:tc>
          <w:tcPr>
            <w:tcW w:w="3369" w:type="dxa"/>
          </w:tcPr>
          <w:p w14:paraId="5A9ACE41" w14:textId="77777777" w:rsidR="001C13F7" w:rsidRPr="0021464B" w:rsidRDefault="009766C6" w:rsidP="00BA2D23">
            <w:pPr>
              <w:spacing w:before="40" w:after="40"/>
            </w:pPr>
            <w:r w:rsidRPr="0021464B">
              <w:t>Free Elective</w:t>
            </w:r>
          </w:p>
          <w:p w14:paraId="7FE7710C" w14:textId="77777777" w:rsidR="001C41CF" w:rsidRPr="0021464B" w:rsidRDefault="001C41CF" w:rsidP="00BA2D23">
            <w:pPr>
              <w:spacing w:before="40" w:after="40"/>
              <w:rPr>
                <w:i/>
              </w:rPr>
            </w:pPr>
            <w:r w:rsidRPr="0021464B">
              <w:rPr>
                <w:i/>
              </w:rPr>
              <w:t>Public Relations 1 CMM</w:t>
            </w:r>
          </w:p>
        </w:tc>
        <w:tc>
          <w:tcPr>
            <w:tcW w:w="5953" w:type="dxa"/>
          </w:tcPr>
          <w:p w14:paraId="6CE8C69A" w14:textId="77777777" w:rsidR="001C13F7" w:rsidRPr="0021464B" w:rsidRDefault="001C13F7" w:rsidP="00BA2D23">
            <w:pPr>
              <w:spacing w:before="40" w:after="40"/>
            </w:pPr>
          </w:p>
          <w:p w14:paraId="3917FBDB" w14:textId="77777777" w:rsidR="001C13F7" w:rsidRPr="0021464B" w:rsidRDefault="001C13F7" w:rsidP="00BA2D23">
            <w:pPr>
              <w:spacing w:before="40" w:after="40"/>
            </w:pPr>
          </w:p>
        </w:tc>
      </w:tr>
      <w:tr w:rsidR="001C13F7" w:rsidRPr="0021464B" w14:paraId="0C3F53E4" w14:textId="77777777" w:rsidTr="008858C5">
        <w:tc>
          <w:tcPr>
            <w:tcW w:w="3369" w:type="dxa"/>
          </w:tcPr>
          <w:p w14:paraId="0C866BC5" w14:textId="77777777" w:rsidR="001C13F7" w:rsidRPr="0021464B" w:rsidRDefault="009766C6" w:rsidP="00BA2D23">
            <w:pPr>
              <w:spacing w:before="40" w:after="40"/>
            </w:pPr>
            <w:r w:rsidRPr="0021464B">
              <w:t>Elective 1 / Professional Concentration 1</w:t>
            </w:r>
            <w:r w:rsidR="0067135E" w:rsidRPr="0021464B">
              <w:t xml:space="preserve"> (Performing Arts) </w:t>
            </w:r>
            <w:r w:rsidR="0067135E" w:rsidRPr="0021464B">
              <w:rPr>
                <w:i/>
              </w:rPr>
              <w:t>Effective Communication</w:t>
            </w:r>
          </w:p>
        </w:tc>
        <w:tc>
          <w:tcPr>
            <w:tcW w:w="5953" w:type="dxa"/>
          </w:tcPr>
          <w:p w14:paraId="1BE10F34" w14:textId="7C6A6AA0" w:rsidR="00B72512" w:rsidRPr="0021464B" w:rsidRDefault="00761796" w:rsidP="00BA2D23">
            <w:pPr>
              <w:spacing w:before="40" w:after="40"/>
            </w:pPr>
            <w:r w:rsidRPr="0021464B">
              <w:rPr>
                <w:b/>
              </w:rPr>
              <w:t>Mobile Learning/Reflective Practice &amp; Feedback</w:t>
            </w:r>
            <w:r w:rsidR="00734371" w:rsidRPr="0021464B">
              <w:rPr>
                <w:b/>
              </w:rPr>
              <w:t xml:space="preserve"> on Oral Presentation</w:t>
            </w:r>
            <w:r w:rsidRPr="0021464B">
              <w:rPr>
                <w:b/>
              </w:rPr>
              <w:t>.</w:t>
            </w:r>
            <w:r w:rsidRPr="0021464B">
              <w:t xml:space="preserve"> This course </w:t>
            </w:r>
            <w:r w:rsidR="002B1C2D" w:rsidRPr="0021464B">
              <w:t>aims to increase</w:t>
            </w:r>
            <w:r w:rsidR="006E4B45" w:rsidRPr="0021464B">
              <w:t xml:space="preserve"> a</w:t>
            </w:r>
            <w:r w:rsidR="002B1C2D" w:rsidRPr="0021464B">
              <w:t xml:space="preserve"> </w:t>
            </w:r>
            <w:r w:rsidR="000F359E" w:rsidRPr="0021464B">
              <w:t>student’s</w:t>
            </w:r>
            <w:r w:rsidR="002B1C2D" w:rsidRPr="0021464B">
              <w:t xml:space="preserve"> ability to communicate to a live audience. It presents an opportunity for the use</w:t>
            </w:r>
            <w:r w:rsidR="006E4B45" w:rsidRPr="0021464B">
              <w:t xml:space="preserve"> eP and mobile learning technologies.</w:t>
            </w:r>
            <w:r w:rsidR="002B1C2D" w:rsidRPr="0021464B">
              <w:t xml:space="preserve"> Students would use smart-phones</w:t>
            </w:r>
            <w:r w:rsidR="004F7216" w:rsidRPr="0021464B">
              <w:rPr>
                <w:rStyle w:val="FootnoteReference"/>
              </w:rPr>
              <w:footnoteReference w:id="4"/>
            </w:r>
            <w:r w:rsidR="002B1C2D" w:rsidRPr="0021464B">
              <w:t xml:space="preserve"> to record and upload footage of themselves </w:t>
            </w:r>
            <w:r w:rsidR="001E6BD6" w:rsidRPr="0021464B">
              <w:t xml:space="preserve">(using the </w:t>
            </w:r>
            <w:r w:rsidR="00F26472" w:rsidRPr="0021464B">
              <w:t>smart-phone</w:t>
            </w:r>
            <w:r w:rsidR="001E6BD6" w:rsidRPr="0021464B">
              <w:t xml:space="preserve"> App</w:t>
            </w:r>
            <w:r w:rsidR="00F26472" w:rsidRPr="0021464B">
              <w:t xml:space="preserve"> ‘PortfolioUp’</w:t>
            </w:r>
            <w:r w:rsidR="001E6BD6" w:rsidRPr="0021464B">
              <w:t xml:space="preserve">) </w:t>
            </w:r>
            <w:r w:rsidR="00882EC5" w:rsidRPr="0021464B">
              <w:t>through</w:t>
            </w:r>
            <w:r w:rsidR="002B1C2D" w:rsidRPr="0021464B">
              <w:t xml:space="preserve"> the various stages of </w:t>
            </w:r>
            <w:r w:rsidR="00882EC5" w:rsidRPr="0021464B">
              <w:t>the course as they prepare for their final presentation. After they have uploaded footage of their efforts they could reflect on where they need to improve</w:t>
            </w:r>
            <w:r w:rsidR="00B72512" w:rsidRPr="0021464B">
              <w:t>.</w:t>
            </w:r>
            <w:r w:rsidR="00882EC5" w:rsidRPr="0021464B">
              <w:t xml:space="preserve"> </w:t>
            </w:r>
            <w:r w:rsidR="00B72512" w:rsidRPr="0021464B">
              <w:t xml:space="preserve">Classmates </w:t>
            </w:r>
            <w:r w:rsidR="00882EC5" w:rsidRPr="0021464B">
              <w:t xml:space="preserve">and staff could provide feedback on the </w:t>
            </w:r>
            <w:r w:rsidR="00D90ABF" w:rsidRPr="0021464B">
              <w:t>same.</w:t>
            </w:r>
            <w:r w:rsidR="00882EC5" w:rsidRPr="0021464B">
              <w:t xml:space="preserve"> </w:t>
            </w:r>
          </w:p>
          <w:p w14:paraId="2410FEEE" w14:textId="77777777" w:rsidR="00B72512" w:rsidRPr="0021464B" w:rsidRDefault="00B72512" w:rsidP="00BA2D23">
            <w:pPr>
              <w:spacing w:before="40" w:after="40"/>
            </w:pPr>
          </w:p>
          <w:p w14:paraId="3B10BD6A" w14:textId="77777777" w:rsidR="00B72512" w:rsidRPr="0021464B" w:rsidRDefault="00882EC5" w:rsidP="00BA2D23">
            <w:pPr>
              <w:spacing w:before="40" w:after="40"/>
            </w:pPr>
            <w:r w:rsidRPr="0021464B">
              <w:t xml:space="preserve">Their most successful </w:t>
            </w:r>
            <w:r w:rsidR="00324F50" w:rsidRPr="0021464B">
              <w:t xml:space="preserve">presentations could be presented as part of their CV/resumes </w:t>
            </w:r>
            <w:r w:rsidR="007C744F" w:rsidRPr="0021464B">
              <w:t>as examples of their experience of, and ability to</w:t>
            </w:r>
            <w:r w:rsidR="00B72512" w:rsidRPr="0021464B">
              <w:t>,</w:t>
            </w:r>
            <w:r w:rsidR="007C744F" w:rsidRPr="0021464B">
              <w:t xml:space="preserve"> communicate effectively. </w:t>
            </w:r>
          </w:p>
        </w:tc>
      </w:tr>
    </w:tbl>
    <w:p w14:paraId="74821722" w14:textId="77777777" w:rsidR="001C13F7" w:rsidRPr="0021464B" w:rsidRDefault="001C13F7"/>
    <w:p w14:paraId="3DBE743B" w14:textId="77777777" w:rsidR="00CA500C" w:rsidRPr="0021464B" w:rsidRDefault="00CA500C"/>
    <w:p w14:paraId="4E7DBF18" w14:textId="77777777" w:rsidR="00CA500C" w:rsidRPr="0021464B" w:rsidRDefault="00CA500C"/>
    <w:p w14:paraId="4918D662" w14:textId="77777777" w:rsidR="008426DA" w:rsidRPr="0021464B" w:rsidRDefault="008426DA">
      <w:r w:rsidRPr="0021464B">
        <w:br w:type="page"/>
      </w:r>
    </w:p>
    <w:p w14:paraId="58E53F33" w14:textId="77777777" w:rsidR="001C13F7" w:rsidRPr="0021464B" w:rsidRDefault="00F665F6">
      <w:pPr>
        <w:rPr>
          <w:b/>
        </w:rPr>
      </w:pPr>
      <w:r w:rsidRPr="0021464B">
        <w:rPr>
          <w:b/>
        </w:rPr>
        <w:lastRenderedPageBreak/>
        <w:t>Program</w:t>
      </w:r>
      <w:r w:rsidRPr="0021464B">
        <w:t>: MBMC (Bachelor of Communication: Media and Culture)</w:t>
      </w:r>
    </w:p>
    <w:p w14:paraId="6DB659F2" w14:textId="77777777" w:rsidR="00CA500C" w:rsidRPr="0021464B" w:rsidRDefault="00CA500C">
      <w:pPr>
        <w:rPr>
          <w:b/>
        </w:rPr>
      </w:pPr>
      <w:r w:rsidRPr="0021464B">
        <w:rPr>
          <w:b/>
        </w:rPr>
        <w:t>Third Year (SP2)</w:t>
      </w:r>
      <w:r w:rsidR="0007799D" w:rsidRPr="0021464B">
        <w:rPr>
          <w:b/>
        </w:rPr>
        <w:t xml:space="preserve"> </w:t>
      </w:r>
      <w:r w:rsidR="008D56F4" w:rsidRPr="0021464B">
        <w:rPr>
          <w:b/>
        </w:rPr>
        <w:t>–</w:t>
      </w:r>
      <w:r w:rsidR="0007799D" w:rsidRPr="0021464B">
        <w:rPr>
          <w:b/>
        </w:rPr>
        <w:t xml:space="preserve"> Level 3</w:t>
      </w:r>
      <w:r w:rsidR="00812CF7" w:rsidRPr="0021464B">
        <w:rPr>
          <w:b/>
        </w:rPr>
        <w:t>:</w:t>
      </w:r>
      <w:r w:rsidR="0007799D" w:rsidRPr="0021464B">
        <w:rPr>
          <w:b/>
        </w:rPr>
        <w:t xml:space="preserve"> Selection and Presentation</w:t>
      </w:r>
    </w:p>
    <w:tbl>
      <w:tblPr>
        <w:tblStyle w:val="TableGrid"/>
        <w:tblW w:w="0" w:type="auto"/>
        <w:tblLook w:val="04A0" w:firstRow="1" w:lastRow="0" w:firstColumn="1" w:lastColumn="0" w:noHBand="0" w:noVBand="1"/>
      </w:tblPr>
      <w:tblGrid>
        <w:gridCol w:w="3369"/>
        <w:gridCol w:w="5953"/>
      </w:tblGrid>
      <w:tr w:rsidR="001C13F7" w:rsidRPr="0021464B" w14:paraId="58C86E3B" w14:textId="77777777" w:rsidTr="008858C5">
        <w:tc>
          <w:tcPr>
            <w:tcW w:w="3369" w:type="dxa"/>
          </w:tcPr>
          <w:p w14:paraId="07A591A1" w14:textId="77777777" w:rsidR="001C13F7" w:rsidRPr="0021464B" w:rsidRDefault="001C13F7" w:rsidP="00BA2D23">
            <w:pPr>
              <w:spacing w:before="40" w:after="40"/>
              <w:rPr>
                <w:b/>
              </w:rPr>
            </w:pPr>
            <w:r w:rsidRPr="0021464B">
              <w:rPr>
                <w:b/>
              </w:rPr>
              <w:t>Course</w:t>
            </w:r>
          </w:p>
        </w:tc>
        <w:tc>
          <w:tcPr>
            <w:tcW w:w="5953" w:type="dxa"/>
          </w:tcPr>
          <w:p w14:paraId="75D07293" w14:textId="77777777" w:rsidR="001C13F7" w:rsidRPr="0021464B" w:rsidRDefault="001C13F7" w:rsidP="00BA2D23">
            <w:pPr>
              <w:spacing w:before="40" w:after="40"/>
              <w:rPr>
                <w:b/>
              </w:rPr>
            </w:pPr>
            <w:r w:rsidRPr="0021464B">
              <w:rPr>
                <w:b/>
              </w:rPr>
              <w:t xml:space="preserve">Mahara </w:t>
            </w:r>
            <w:r w:rsidR="00BA2D23" w:rsidRPr="0021464B">
              <w:rPr>
                <w:b/>
              </w:rPr>
              <w:t xml:space="preserve">ePortfolio </w:t>
            </w:r>
            <w:r w:rsidR="00EB2435" w:rsidRPr="0021464B">
              <w:rPr>
                <w:b/>
              </w:rPr>
              <w:t>usage</w:t>
            </w:r>
          </w:p>
        </w:tc>
      </w:tr>
      <w:tr w:rsidR="001C13F7" w:rsidRPr="0021464B" w14:paraId="59BC4648" w14:textId="77777777" w:rsidTr="008858C5">
        <w:tc>
          <w:tcPr>
            <w:tcW w:w="3369" w:type="dxa"/>
          </w:tcPr>
          <w:p w14:paraId="1C39BEF4" w14:textId="77777777" w:rsidR="001C13F7" w:rsidRPr="0021464B" w:rsidRDefault="007C3F5E" w:rsidP="00BA2D23">
            <w:pPr>
              <w:spacing w:before="40" w:after="40"/>
            </w:pPr>
            <w:r w:rsidRPr="0021464B">
              <w:t xml:space="preserve">Communication Practicum 1 </w:t>
            </w:r>
          </w:p>
        </w:tc>
        <w:tc>
          <w:tcPr>
            <w:tcW w:w="5953" w:type="dxa"/>
          </w:tcPr>
          <w:p w14:paraId="6E5F513B" w14:textId="2F36114E" w:rsidR="001C13F7" w:rsidRPr="0021464B" w:rsidRDefault="00CE5D47" w:rsidP="00B608DD">
            <w:pPr>
              <w:spacing w:before="40" w:after="40"/>
            </w:pPr>
            <w:r w:rsidRPr="0021464B">
              <w:rPr>
                <w:b/>
              </w:rPr>
              <w:t>Professional Development: Competencies and CV/Resume.</w:t>
            </w:r>
            <w:r w:rsidR="00CC2765" w:rsidRPr="0021464B">
              <w:rPr>
                <w:b/>
              </w:rPr>
              <w:t xml:space="preserve"> </w:t>
            </w:r>
            <w:r w:rsidR="003A252F" w:rsidRPr="0021464B">
              <w:t xml:space="preserve">This course is the first part of a </w:t>
            </w:r>
            <w:proofErr w:type="gramStart"/>
            <w:r w:rsidR="003A252F" w:rsidRPr="0021464B">
              <w:t>2 part</w:t>
            </w:r>
            <w:proofErr w:type="gramEnd"/>
            <w:r w:rsidR="003A252F" w:rsidRPr="0021464B">
              <w:t xml:space="preserve"> practicum that culminates in a 5 day workplace placement. Part of this is to produce a report</w:t>
            </w:r>
            <w:r w:rsidR="00A43A9F" w:rsidRPr="0021464B">
              <w:t xml:space="preserve"> on the </w:t>
            </w:r>
            <w:r w:rsidR="000F492D" w:rsidRPr="0021464B">
              <w:t>placement</w:t>
            </w:r>
            <w:r w:rsidR="00A43A9F" w:rsidRPr="0021464B">
              <w:t xml:space="preserve"> organisation. In this first part however, attention could turn </w:t>
            </w:r>
            <w:r w:rsidR="000927A0" w:rsidRPr="0021464B">
              <w:t xml:space="preserve">to </w:t>
            </w:r>
            <w:r w:rsidR="000F492D" w:rsidRPr="0021464B">
              <w:t xml:space="preserve">the </w:t>
            </w:r>
            <w:r w:rsidR="000927A0" w:rsidRPr="0021464B">
              <w:t>presentation of professional competencies. These could include the previously mentioned</w:t>
            </w:r>
            <w:r w:rsidR="000F492D" w:rsidRPr="0021464B">
              <w:t xml:space="preserve">, </w:t>
            </w:r>
            <w:r w:rsidR="000F492D" w:rsidRPr="0021464B">
              <w:rPr>
                <w:i/>
              </w:rPr>
              <w:t>Effective C</w:t>
            </w:r>
            <w:r w:rsidR="000927A0" w:rsidRPr="0021464B">
              <w:rPr>
                <w:i/>
              </w:rPr>
              <w:t>ommunication</w:t>
            </w:r>
            <w:r w:rsidR="000927A0" w:rsidRPr="0021464B">
              <w:t xml:space="preserve"> (both written and oral) and be taken further in this course with the preparation of a report or case study, produced to a professional level.</w:t>
            </w:r>
            <w:r w:rsidR="00473095" w:rsidRPr="0021464B">
              <w:t xml:space="preserve"> </w:t>
            </w:r>
            <w:r w:rsidR="000927A0" w:rsidRPr="0021464B">
              <w:t xml:space="preserve">This piece of work is the culmination of the second part of </w:t>
            </w:r>
            <w:r w:rsidR="007F571C" w:rsidRPr="0021464B">
              <w:t>this</w:t>
            </w:r>
            <w:r w:rsidR="000927A0" w:rsidRPr="0021464B">
              <w:t xml:space="preserve"> </w:t>
            </w:r>
            <w:proofErr w:type="gramStart"/>
            <w:r w:rsidR="000927A0" w:rsidRPr="0021464B">
              <w:t>two part</w:t>
            </w:r>
            <w:proofErr w:type="gramEnd"/>
            <w:r w:rsidR="000927A0" w:rsidRPr="0021464B">
              <w:t xml:space="preserve"> (year-long) practicum</w:t>
            </w:r>
            <w:r w:rsidR="00B608DD" w:rsidRPr="0021464B">
              <w:t xml:space="preserve">. </w:t>
            </w:r>
            <w:r w:rsidR="000927A0" w:rsidRPr="0021464B">
              <w:t xml:space="preserve"> Mahara could be used at this stage to outline professional expectations and to secure placement positions for students. </w:t>
            </w:r>
            <w:r w:rsidR="00450EB5" w:rsidRPr="0021464B">
              <w:t xml:space="preserve">This could be </w:t>
            </w:r>
            <w:r w:rsidR="00151CD6" w:rsidRPr="0021464B">
              <w:t>accomplished</w:t>
            </w:r>
            <w:r w:rsidR="00450EB5" w:rsidRPr="0021464B">
              <w:t xml:space="preserve"> by </w:t>
            </w:r>
            <w:r w:rsidR="00151CD6" w:rsidRPr="0021464B">
              <w:t xml:space="preserve">using the eP to </w:t>
            </w:r>
            <w:r w:rsidR="00450EB5" w:rsidRPr="0021464B">
              <w:t>sh</w:t>
            </w:r>
            <w:r w:rsidR="00151CD6" w:rsidRPr="0021464B">
              <w:t>owcase participating</w:t>
            </w:r>
            <w:r w:rsidR="00450EB5" w:rsidRPr="0021464B">
              <w:t xml:space="preserve"> students achievements and interests to potential organisations.</w:t>
            </w:r>
          </w:p>
        </w:tc>
      </w:tr>
      <w:tr w:rsidR="001C13F7" w:rsidRPr="0021464B" w14:paraId="4FD7F278" w14:textId="77777777" w:rsidTr="008858C5">
        <w:tc>
          <w:tcPr>
            <w:tcW w:w="3369" w:type="dxa"/>
          </w:tcPr>
          <w:p w14:paraId="26E1301E" w14:textId="77777777" w:rsidR="006D5A08" w:rsidRPr="0021464B" w:rsidRDefault="007C3F5E" w:rsidP="00BA2D23">
            <w:pPr>
              <w:spacing w:before="40" w:after="40"/>
            </w:pPr>
            <w:r w:rsidRPr="0021464B">
              <w:t>General Studies Sub-major 5</w:t>
            </w:r>
          </w:p>
          <w:p w14:paraId="27FFC152" w14:textId="77777777" w:rsidR="007B526C" w:rsidRPr="0021464B" w:rsidRDefault="006D5A08" w:rsidP="00BA2D23">
            <w:pPr>
              <w:spacing w:before="40" w:after="40"/>
            </w:pPr>
            <w:r w:rsidRPr="0021464B">
              <w:t>(Creative Writing)</w:t>
            </w:r>
            <w:r w:rsidR="007B526C" w:rsidRPr="0021464B">
              <w:t xml:space="preserve"> </w:t>
            </w:r>
          </w:p>
          <w:p w14:paraId="19A83923" w14:textId="77777777" w:rsidR="001C13F7" w:rsidRPr="0021464B" w:rsidRDefault="007B526C" w:rsidP="00BA2D23">
            <w:pPr>
              <w:spacing w:before="40" w:after="40"/>
              <w:rPr>
                <w:i/>
              </w:rPr>
            </w:pPr>
            <w:r w:rsidRPr="0021464B">
              <w:rPr>
                <w:i/>
              </w:rPr>
              <w:t>Scriptwriting for Media</w:t>
            </w:r>
          </w:p>
        </w:tc>
        <w:tc>
          <w:tcPr>
            <w:tcW w:w="5953" w:type="dxa"/>
          </w:tcPr>
          <w:p w14:paraId="65A4BF17" w14:textId="77777777" w:rsidR="001C13F7" w:rsidRPr="0021464B" w:rsidRDefault="001C13F7" w:rsidP="00BA2D23">
            <w:pPr>
              <w:spacing w:before="40" w:after="40"/>
            </w:pPr>
          </w:p>
          <w:p w14:paraId="7C43CB37" w14:textId="77777777" w:rsidR="001C13F7" w:rsidRPr="0021464B" w:rsidRDefault="001C13F7" w:rsidP="00BA2D23">
            <w:pPr>
              <w:spacing w:before="40" w:after="40"/>
            </w:pPr>
          </w:p>
        </w:tc>
      </w:tr>
      <w:tr w:rsidR="001C13F7" w:rsidRPr="0021464B" w14:paraId="2D4E1886" w14:textId="77777777" w:rsidTr="008858C5">
        <w:tc>
          <w:tcPr>
            <w:tcW w:w="3369" w:type="dxa"/>
          </w:tcPr>
          <w:p w14:paraId="2A7DB83E" w14:textId="77777777" w:rsidR="001C13F7" w:rsidRPr="0021464B" w:rsidRDefault="007C3F5E" w:rsidP="00BA2D23">
            <w:pPr>
              <w:spacing w:before="40" w:after="40"/>
            </w:pPr>
            <w:r w:rsidRPr="0021464B">
              <w:t xml:space="preserve">Elective 2 / Professional Concentration 2 </w:t>
            </w:r>
            <w:r w:rsidR="00025540" w:rsidRPr="0021464B">
              <w:t>(Performing Arts)</w:t>
            </w:r>
            <w:r w:rsidR="00D83803" w:rsidRPr="0021464B">
              <w:t xml:space="preserve"> </w:t>
            </w:r>
            <w:r w:rsidR="00D83803" w:rsidRPr="0021464B">
              <w:rPr>
                <w:i/>
              </w:rPr>
              <w:t>Introduction to Film and Television Production</w:t>
            </w:r>
          </w:p>
        </w:tc>
        <w:tc>
          <w:tcPr>
            <w:tcW w:w="5953" w:type="dxa"/>
          </w:tcPr>
          <w:p w14:paraId="3411E36A" w14:textId="36DD3394" w:rsidR="001C13F7" w:rsidRPr="0021464B" w:rsidRDefault="00D83803" w:rsidP="00BA2D23">
            <w:pPr>
              <w:spacing w:before="40" w:after="40"/>
            </w:pPr>
            <w:r w:rsidRPr="0021464B">
              <w:rPr>
                <w:b/>
              </w:rPr>
              <w:t xml:space="preserve">Showcasing </w:t>
            </w:r>
            <w:r w:rsidR="00CE5D47" w:rsidRPr="0021464B">
              <w:rPr>
                <w:b/>
              </w:rPr>
              <w:t>Achievement.</w:t>
            </w:r>
            <w:r w:rsidR="00CE5D47" w:rsidRPr="0021464B">
              <w:t xml:space="preserve"> </w:t>
            </w:r>
            <w:r w:rsidR="00A639F1" w:rsidRPr="0021464B">
              <w:t>This course requires the production of three separate pieces of video work. All of these are to be completed in small groups</w:t>
            </w:r>
            <w:r w:rsidR="00180FB4">
              <w:rPr>
                <w:rStyle w:val="FootnoteReference"/>
              </w:rPr>
              <w:footnoteReference w:id="5"/>
            </w:r>
            <w:r w:rsidR="00A639F1" w:rsidRPr="0021464B">
              <w:t xml:space="preserve"> and are collaborative at almost every stage of production. </w:t>
            </w:r>
            <w:r w:rsidR="00241B5C" w:rsidRPr="0021464B">
              <w:t xml:space="preserve">In the first Instance Mahara </w:t>
            </w:r>
            <w:r w:rsidR="003B5578" w:rsidRPr="0021464B">
              <w:t xml:space="preserve">could be used to distribute a uniform template/view of script format. It also </w:t>
            </w:r>
            <w:r w:rsidR="00241B5C" w:rsidRPr="0021464B">
              <w:t xml:space="preserve">provides an online space for script development/feedback/reflection. In the second instance it provides a space to showcase </w:t>
            </w:r>
            <w:r w:rsidR="003B5578" w:rsidRPr="0021464B">
              <w:t xml:space="preserve">successful pieces of video work. </w:t>
            </w:r>
          </w:p>
        </w:tc>
      </w:tr>
      <w:tr w:rsidR="001C13F7" w:rsidRPr="0021464B" w14:paraId="32749BC0" w14:textId="77777777" w:rsidTr="008858C5">
        <w:tc>
          <w:tcPr>
            <w:tcW w:w="3369" w:type="dxa"/>
          </w:tcPr>
          <w:p w14:paraId="280F9D4E" w14:textId="77777777" w:rsidR="001C13F7" w:rsidRPr="0021464B" w:rsidRDefault="007C3F5E" w:rsidP="00BA2D23">
            <w:pPr>
              <w:spacing w:before="40" w:after="40"/>
            </w:pPr>
            <w:r w:rsidRPr="0021464B">
              <w:t>Elective 3 / Professional Concentration 3</w:t>
            </w:r>
            <w:r w:rsidR="00025540" w:rsidRPr="0021464B">
              <w:t xml:space="preserve"> (Performing Arts)</w:t>
            </w:r>
            <w:r w:rsidR="00884A77" w:rsidRPr="0021464B">
              <w:t xml:space="preserve"> </w:t>
            </w:r>
            <w:r w:rsidR="00884A77" w:rsidRPr="0021464B">
              <w:rPr>
                <w:i/>
              </w:rPr>
              <w:t>World Puppetry</w:t>
            </w:r>
          </w:p>
        </w:tc>
        <w:tc>
          <w:tcPr>
            <w:tcW w:w="5953" w:type="dxa"/>
          </w:tcPr>
          <w:p w14:paraId="7A127DE4" w14:textId="4CF8C4F1" w:rsidR="001C13F7" w:rsidRPr="0021464B" w:rsidRDefault="00CE5D47" w:rsidP="00BA2D23">
            <w:pPr>
              <w:spacing w:before="40" w:after="40"/>
            </w:pPr>
            <w:r w:rsidRPr="0021464B">
              <w:rPr>
                <w:b/>
              </w:rPr>
              <w:t xml:space="preserve">Mobile Learning/Reflective Practice &amp; Feedback. </w:t>
            </w:r>
            <w:r w:rsidR="00D335F5" w:rsidRPr="0021464B">
              <w:t>This course could operate in a simil</w:t>
            </w:r>
            <w:r w:rsidR="003829C5" w:rsidRPr="0021464B">
              <w:t xml:space="preserve">ar fashion </w:t>
            </w:r>
            <w:r w:rsidR="000F492D" w:rsidRPr="0021464B">
              <w:t xml:space="preserve">to </w:t>
            </w:r>
            <w:r w:rsidR="003829C5" w:rsidRPr="0021464B">
              <w:t xml:space="preserve">the </w:t>
            </w:r>
            <w:r w:rsidR="0021464B" w:rsidRPr="0021464B">
              <w:t>above-mentioned</w:t>
            </w:r>
            <w:r w:rsidR="003829C5" w:rsidRPr="0021464B">
              <w:t xml:space="preserve"> </w:t>
            </w:r>
            <w:r w:rsidR="003829C5" w:rsidRPr="0021464B">
              <w:rPr>
                <w:i/>
              </w:rPr>
              <w:t>Effective C</w:t>
            </w:r>
            <w:r w:rsidR="00D335F5" w:rsidRPr="0021464B">
              <w:rPr>
                <w:i/>
              </w:rPr>
              <w:t>ommunication</w:t>
            </w:r>
            <w:r w:rsidR="00D335F5" w:rsidRPr="0021464B">
              <w:t xml:space="preserve">. </w:t>
            </w:r>
            <w:r w:rsidR="003829C5" w:rsidRPr="0021464B">
              <w:t>Smart-</w:t>
            </w:r>
            <w:r w:rsidR="00B608DD" w:rsidRPr="0021464B">
              <w:t>p</w:t>
            </w:r>
            <w:r w:rsidR="003829C5" w:rsidRPr="0021464B">
              <w:t xml:space="preserve">hones could be used to photograph/video and upload </w:t>
            </w:r>
            <w:r w:rsidR="004B678F" w:rsidRPr="0021464B">
              <w:t xml:space="preserve">material </w:t>
            </w:r>
            <w:r w:rsidR="003829C5" w:rsidRPr="0021464B">
              <w:t xml:space="preserve">to Mahara and </w:t>
            </w:r>
            <w:r w:rsidR="004B678F" w:rsidRPr="0021464B">
              <w:t xml:space="preserve">through this function to plot the development of the </w:t>
            </w:r>
            <w:r w:rsidR="00B1348A" w:rsidRPr="0021464B">
              <w:t>student’s</w:t>
            </w:r>
            <w:r w:rsidR="004B678F" w:rsidRPr="0021464B">
              <w:t xml:space="preserve"> craft. </w:t>
            </w:r>
            <w:r w:rsidR="00B1348A" w:rsidRPr="0021464B">
              <w:t>This provides a ready platform for reflection and feedback throughout the duration of the course</w:t>
            </w:r>
            <w:r w:rsidR="000F492D" w:rsidRPr="0021464B">
              <w:t>.</w:t>
            </w:r>
            <w:r w:rsidR="00B1348A" w:rsidRPr="0021464B">
              <w:t xml:space="preserve"> </w:t>
            </w:r>
            <w:r w:rsidR="000F492D" w:rsidRPr="0021464B">
              <w:t>It also provides</w:t>
            </w:r>
            <w:r w:rsidR="00B1348A" w:rsidRPr="0021464B">
              <w:t xml:space="preserve"> a way to present the final performance for both assessment and for potential </w:t>
            </w:r>
            <w:r w:rsidR="00101B89" w:rsidRPr="0021464B">
              <w:t>presentation</w:t>
            </w:r>
            <w:r w:rsidR="00473095" w:rsidRPr="0021464B">
              <w:t xml:space="preserve"> in a portfolio of student </w:t>
            </w:r>
            <w:r w:rsidR="00101B89" w:rsidRPr="0021464B">
              <w:t>achievement</w:t>
            </w:r>
            <w:r w:rsidR="000A7DD7" w:rsidRPr="0021464B">
              <w:t>s</w:t>
            </w:r>
            <w:r w:rsidR="00B1348A" w:rsidRPr="0021464B">
              <w:t xml:space="preserve">. </w:t>
            </w:r>
          </w:p>
        </w:tc>
      </w:tr>
    </w:tbl>
    <w:p w14:paraId="0C5CB65B" w14:textId="77777777" w:rsidR="0021464B" w:rsidRDefault="0021464B" w:rsidP="00EB2435">
      <w:pPr>
        <w:rPr>
          <w:b/>
        </w:rPr>
      </w:pPr>
      <w:r>
        <w:rPr>
          <w:b/>
        </w:rPr>
        <w:br w:type="page"/>
      </w:r>
    </w:p>
    <w:p w14:paraId="3E87DB68" w14:textId="2C491FFB" w:rsidR="00EB2435" w:rsidRPr="0021464B" w:rsidRDefault="00EB2435" w:rsidP="00EB2435">
      <w:pPr>
        <w:rPr>
          <w:b/>
        </w:rPr>
      </w:pPr>
      <w:r w:rsidRPr="0021464B">
        <w:rPr>
          <w:b/>
        </w:rPr>
        <w:lastRenderedPageBreak/>
        <w:t xml:space="preserve">Program: </w:t>
      </w:r>
      <w:r w:rsidRPr="0021464B">
        <w:t>MBMC (Bachelor of Communication: Media and Culture)</w:t>
      </w:r>
    </w:p>
    <w:p w14:paraId="7CF909A2" w14:textId="77777777" w:rsidR="00CA500C" w:rsidRPr="0021464B" w:rsidRDefault="00CA500C">
      <w:pPr>
        <w:rPr>
          <w:b/>
        </w:rPr>
      </w:pPr>
      <w:r w:rsidRPr="0021464B">
        <w:rPr>
          <w:b/>
        </w:rPr>
        <w:t>Third Year (SP5)</w:t>
      </w:r>
      <w:r w:rsidR="0007799D" w:rsidRPr="0021464B">
        <w:rPr>
          <w:b/>
        </w:rPr>
        <w:t xml:space="preserve"> </w:t>
      </w:r>
      <w:r w:rsidR="008D56F4" w:rsidRPr="0021464B">
        <w:rPr>
          <w:b/>
        </w:rPr>
        <w:t>–</w:t>
      </w:r>
      <w:r w:rsidR="0007799D" w:rsidRPr="0021464B">
        <w:rPr>
          <w:b/>
        </w:rPr>
        <w:t xml:space="preserve"> Level 3</w:t>
      </w:r>
      <w:r w:rsidR="00812CF7" w:rsidRPr="0021464B">
        <w:rPr>
          <w:b/>
        </w:rPr>
        <w:t>:</w:t>
      </w:r>
      <w:r w:rsidR="0007799D" w:rsidRPr="0021464B">
        <w:rPr>
          <w:b/>
        </w:rPr>
        <w:t xml:space="preserve"> Selection and Presentation</w:t>
      </w:r>
    </w:p>
    <w:tbl>
      <w:tblPr>
        <w:tblStyle w:val="TableGrid"/>
        <w:tblW w:w="0" w:type="auto"/>
        <w:tblLook w:val="04A0" w:firstRow="1" w:lastRow="0" w:firstColumn="1" w:lastColumn="0" w:noHBand="0" w:noVBand="1"/>
      </w:tblPr>
      <w:tblGrid>
        <w:gridCol w:w="3369"/>
        <w:gridCol w:w="5953"/>
      </w:tblGrid>
      <w:tr w:rsidR="001C13F7" w:rsidRPr="0021464B" w14:paraId="03D85A76" w14:textId="77777777" w:rsidTr="008858C5">
        <w:tc>
          <w:tcPr>
            <w:tcW w:w="3369" w:type="dxa"/>
          </w:tcPr>
          <w:p w14:paraId="78F3786B" w14:textId="77777777" w:rsidR="001C13F7" w:rsidRPr="0021464B" w:rsidRDefault="001C13F7" w:rsidP="00BA2D23">
            <w:pPr>
              <w:spacing w:before="40" w:after="40"/>
              <w:rPr>
                <w:b/>
              </w:rPr>
            </w:pPr>
            <w:r w:rsidRPr="0021464B">
              <w:rPr>
                <w:b/>
              </w:rPr>
              <w:t>Course</w:t>
            </w:r>
          </w:p>
        </w:tc>
        <w:tc>
          <w:tcPr>
            <w:tcW w:w="5953" w:type="dxa"/>
          </w:tcPr>
          <w:p w14:paraId="2F5FA8B8" w14:textId="77777777" w:rsidR="001C13F7" w:rsidRPr="0021464B" w:rsidRDefault="001C13F7" w:rsidP="00BA2D23">
            <w:pPr>
              <w:spacing w:before="40" w:after="40"/>
              <w:rPr>
                <w:b/>
              </w:rPr>
            </w:pPr>
            <w:r w:rsidRPr="0021464B">
              <w:rPr>
                <w:b/>
              </w:rPr>
              <w:t xml:space="preserve">Mahara </w:t>
            </w:r>
            <w:r w:rsidR="00BA2D23" w:rsidRPr="0021464B">
              <w:rPr>
                <w:b/>
              </w:rPr>
              <w:t xml:space="preserve">ePortfolio </w:t>
            </w:r>
            <w:r w:rsidR="00EB2435" w:rsidRPr="0021464B">
              <w:rPr>
                <w:b/>
              </w:rPr>
              <w:t>usage</w:t>
            </w:r>
          </w:p>
        </w:tc>
      </w:tr>
      <w:tr w:rsidR="001C13F7" w:rsidRPr="0021464B" w14:paraId="2077876C" w14:textId="77777777" w:rsidTr="008858C5">
        <w:tc>
          <w:tcPr>
            <w:tcW w:w="3369" w:type="dxa"/>
          </w:tcPr>
          <w:p w14:paraId="1E131C83" w14:textId="77777777" w:rsidR="00416AE3" w:rsidRPr="0021464B" w:rsidRDefault="00416AE3" w:rsidP="00BA2D23">
            <w:pPr>
              <w:spacing w:before="40" w:after="40"/>
            </w:pPr>
            <w:r w:rsidRPr="0021464B">
              <w:t xml:space="preserve">Communication Practicum 2 </w:t>
            </w:r>
          </w:p>
          <w:p w14:paraId="5E39978B" w14:textId="77777777" w:rsidR="001C13F7" w:rsidRPr="0021464B" w:rsidRDefault="001C13F7" w:rsidP="00BA2D23">
            <w:pPr>
              <w:spacing w:before="40" w:after="40"/>
            </w:pPr>
          </w:p>
        </w:tc>
        <w:tc>
          <w:tcPr>
            <w:tcW w:w="5953" w:type="dxa"/>
          </w:tcPr>
          <w:p w14:paraId="6277940C" w14:textId="2E458599" w:rsidR="00C609E7" w:rsidRPr="0021464B" w:rsidRDefault="00A43A9F" w:rsidP="00BA2D23">
            <w:pPr>
              <w:spacing w:before="40" w:after="40"/>
            </w:pPr>
            <w:r w:rsidRPr="0021464B">
              <w:rPr>
                <w:b/>
              </w:rPr>
              <w:t>Placement/F</w:t>
            </w:r>
            <w:r w:rsidR="000A3900" w:rsidRPr="0021464B">
              <w:rPr>
                <w:b/>
              </w:rPr>
              <w:t>ieldwork</w:t>
            </w:r>
            <w:r w:rsidR="00085C63" w:rsidRPr="0021464B">
              <w:rPr>
                <w:b/>
              </w:rPr>
              <w:t xml:space="preserve"> Reflections.</w:t>
            </w:r>
            <w:r w:rsidRPr="0021464B">
              <w:rPr>
                <w:b/>
              </w:rPr>
              <w:t xml:space="preserve"> </w:t>
            </w:r>
            <w:r w:rsidR="00BC38F1" w:rsidRPr="0021464B">
              <w:t xml:space="preserve">This is the second part of </w:t>
            </w:r>
            <w:r w:rsidR="00BA2D23" w:rsidRPr="0021464B">
              <w:t xml:space="preserve">the communications practicum. It requires </w:t>
            </w:r>
            <w:r w:rsidR="00BC38F1" w:rsidRPr="0021464B">
              <w:t>students to negotiate and co</w:t>
            </w:r>
            <w:r w:rsidR="00BA2D23" w:rsidRPr="0021464B">
              <w:t xml:space="preserve">mplete a one-week placement </w:t>
            </w:r>
            <w:r w:rsidR="00BC38F1" w:rsidRPr="0021464B">
              <w:t>in an organisation. Mahara could be used effectiv</w:t>
            </w:r>
            <w:r w:rsidR="00BA2D23" w:rsidRPr="0021464B">
              <w:t>ely in two ways here</w:t>
            </w:r>
            <w:r w:rsidR="00BC38F1" w:rsidRPr="0021464B">
              <w:t xml:space="preserve">. </w:t>
            </w:r>
            <w:r w:rsidR="00F62D91" w:rsidRPr="0021464B">
              <w:t>If the eP has been used as part of the o</w:t>
            </w:r>
            <w:r w:rsidR="00BA2D23" w:rsidRPr="0021464B">
              <w:t>verall program, there should be by this stage</w:t>
            </w:r>
            <w:r w:rsidR="00F62D91" w:rsidRPr="0021464B">
              <w:t xml:space="preserve"> an eP filled with various artefacts outlining the various </w:t>
            </w:r>
            <w:r w:rsidR="002366AB" w:rsidRPr="0021464B">
              <w:t>achievements</w:t>
            </w:r>
            <w:r w:rsidR="00F62D91" w:rsidRPr="0021464B">
              <w:t xml:space="preserve"> of the individual student. </w:t>
            </w:r>
            <w:r w:rsidR="002366AB" w:rsidRPr="0021464B">
              <w:t>This collecti</w:t>
            </w:r>
            <w:r w:rsidR="00BA2D23" w:rsidRPr="0021464B">
              <w:t xml:space="preserve">on could be used </w:t>
            </w:r>
            <w:r w:rsidR="002366AB" w:rsidRPr="0021464B">
              <w:t xml:space="preserve">to outline to </w:t>
            </w:r>
            <w:r w:rsidR="00BA2D23" w:rsidRPr="0021464B">
              <w:t>a</w:t>
            </w:r>
            <w:r w:rsidR="002366AB" w:rsidRPr="0021464B">
              <w:t xml:space="preserve"> prospective organisation the various strengths and experiences of the student who wants to join them. The other element of use from the eP is the ability to create fi</w:t>
            </w:r>
            <w:r w:rsidR="00C609E7" w:rsidRPr="0021464B">
              <w:t>el</w:t>
            </w:r>
            <w:r w:rsidR="002366AB" w:rsidRPr="0021464B">
              <w:t xml:space="preserve">d notes (in </w:t>
            </w:r>
            <w:r w:rsidR="00E04A1C" w:rsidRPr="0021464B">
              <w:t>the form of a blog or text box). Using this function i</w:t>
            </w:r>
            <w:r w:rsidR="00C609E7" w:rsidRPr="0021464B">
              <w:t>t</w:t>
            </w:r>
            <w:r w:rsidR="00E04A1C" w:rsidRPr="0021464B">
              <w:t xml:space="preserve"> becomes easy for the supervisor </w:t>
            </w:r>
            <w:r w:rsidR="00C609E7" w:rsidRPr="0021464B">
              <w:t>of</w:t>
            </w:r>
            <w:r w:rsidR="00E04A1C" w:rsidRPr="0021464B">
              <w:t xml:space="preserve"> each project to provide feedback</w:t>
            </w:r>
            <w:r w:rsidR="00C609E7" w:rsidRPr="0021464B">
              <w:t>,</w:t>
            </w:r>
            <w:r w:rsidR="00E04A1C" w:rsidRPr="0021464B">
              <w:t xml:space="preserve"> and secondly</w:t>
            </w:r>
            <w:r w:rsidR="00C609E7" w:rsidRPr="0021464B">
              <w:t>,</w:t>
            </w:r>
            <w:r w:rsidR="00E04A1C" w:rsidRPr="0021464B">
              <w:t xml:space="preserve"> for the student to reflect</w:t>
            </w:r>
            <w:r w:rsidR="00C609E7" w:rsidRPr="0021464B">
              <w:t xml:space="preserve"> critically</w:t>
            </w:r>
            <w:r w:rsidR="00E04A1C" w:rsidRPr="0021464B">
              <w:t xml:space="preserve"> on their </w:t>
            </w:r>
            <w:r w:rsidR="00C609E7" w:rsidRPr="0021464B">
              <w:t xml:space="preserve">field </w:t>
            </w:r>
            <w:r w:rsidR="00E04A1C" w:rsidRPr="0021464B">
              <w:t xml:space="preserve">notes when it comes time to complete their final report. </w:t>
            </w:r>
            <w:r w:rsidR="006A24B8" w:rsidRPr="0021464B">
              <w:t xml:space="preserve">As in </w:t>
            </w:r>
            <w:r w:rsidR="0088675C" w:rsidRPr="0021464B">
              <w:t>above-mentioned</w:t>
            </w:r>
            <w:r w:rsidR="006A24B8" w:rsidRPr="0021464B">
              <w:t xml:space="preserve"> cases</w:t>
            </w:r>
            <w:r w:rsidR="00C609E7" w:rsidRPr="0021464B">
              <w:t>,</w:t>
            </w:r>
            <w:r w:rsidR="006A24B8" w:rsidRPr="0021464B">
              <w:t xml:space="preserve"> a </w:t>
            </w:r>
            <w:r w:rsidR="00C609E7" w:rsidRPr="0021464B">
              <w:t>M</w:t>
            </w:r>
            <w:r w:rsidR="006A24B8" w:rsidRPr="0021464B">
              <w:t xml:space="preserve">ahara view (or template) could be created for the final report/case study assignment. </w:t>
            </w:r>
          </w:p>
        </w:tc>
      </w:tr>
      <w:tr w:rsidR="001C13F7" w:rsidRPr="0021464B" w14:paraId="0B5AA7BC" w14:textId="77777777" w:rsidTr="008858C5">
        <w:tc>
          <w:tcPr>
            <w:tcW w:w="3369" w:type="dxa"/>
          </w:tcPr>
          <w:p w14:paraId="249305C4" w14:textId="77777777" w:rsidR="001C13F7" w:rsidRPr="0021464B" w:rsidRDefault="00416AE3" w:rsidP="00BA2D23">
            <w:pPr>
              <w:spacing w:before="40" w:after="40"/>
            </w:pPr>
            <w:r w:rsidRPr="0021464B">
              <w:t>Professional Major Option 2</w:t>
            </w:r>
          </w:p>
          <w:p w14:paraId="3750E747" w14:textId="77777777" w:rsidR="001C41CF" w:rsidRPr="0021464B" w:rsidRDefault="001C41CF" w:rsidP="00BA2D23">
            <w:pPr>
              <w:spacing w:before="40" w:after="40"/>
              <w:rPr>
                <w:i/>
              </w:rPr>
            </w:pPr>
            <w:r w:rsidRPr="0021464B">
              <w:rPr>
                <w:i/>
              </w:rPr>
              <w:t>Television and Society</w:t>
            </w:r>
          </w:p>
        </w:tc>
        <w:tc>
          <w:tcPr>
            <w:tcW w:w="5953" w:type="dxa"/>
          </w:tcPr>
          <w:p w14:paraId="35C555AD" w14:textId="77777777" w:rsidR="001C13F7" w:rsidRPr="0021464B" w:rsidRDefault="001C13F7" w:rsidP="00BA2D23">
            <w:pPr>
              <w:spacing w:before="40" w:after="40"/>
            </w:pPr>
          </w:p>
          <w:p w14:paraId="6E74A13E" w14:textId="77777777" w:rsidR="001C13F7" w:rsidRPr="0021464B" w:rsidRDefault="001C13F7" w:rsidP="00BA2D23">
            <w:pPr>
              <w:spacing w:before="40" w:after="40"/>
            </w:pPr>
          </w:p>
        </w:tc>
      </w:tr>
      <w:tr w:rsidR="001C13F7" w:rsidRPr="0021464B" w14:paraId="42F0BB05" w14:textId="77777777" w:rsidTr="008858C5">
        <w:tc>
          <w:tcPr>
            <w:tcW w:w="3369" w:type="dxa"/>
          </w:tcPr>
          <w:p w14:paraId="2FE19377" w14:textId="77777777" w:rsidR="001C13F7" w:rsidRPr="0021464B" w:rsidRDefault="00416AE3" w:rsidP="00BA2D23">
            <w:pPr>
              <w:spacing w:before="40" w:after="40"/>
            </w:pPr>
            <w:r w:rsidRPr="0021464B">
              <w:t>General Studies Sub-major 6</w:t>
            </w:r>
          </w:p>
          <w:p w14:paraId="7BE31099" w14:textId="77777777" w:rsidR="006D5A08" w:rsidRPr="0021464B" w:rsidRDefault="006D5A08" w:rsidP="00BA2D23">
            <w:pPr>
              <w:spacing w:before="40" w:after="40"/>
            </w:pPr>
            <w:r w:rsidRPr="0021464B">
              <w:t>(Creative Writing)</w:t>
            </w:r>
          </w:p>
          <w:p w14:paraId="5100ABA7" w14:textId="77777777" w:rsidR="007B526C" w:rsidRPr="0021464B" w:rsidRDefault="007B526C" w:rsidP="00BA2D23">
            <w:pPr>
              <w:spacing w:before="40" w:after="40"/>
              <w:rPr>
                <w:i/>
              </w:rPr>
            </w:pPr>
            <w:r w:rsidRPr="0021464B">
              <w:rPr>
                <w:i/>
              </w:rPr>
              <w:t>Creative Writing Practice</w:t>
            </w:r>
          </w:p>
        </w:tc>
        <w:tc>
          <w:tcPr>
            <w:tcW w:w="5953" w:type="dxa"/>
          </w:tcPr>
          <w:p w14:paraId="21C5F911" w14:textId="77777777" w:rsidR="00C609E7" w:rsidRPr="0021464B" w:rsidRDefault="0035608F" w:rsidP="00BA2D23">
            <w:pPr>
              <w:spacing w:before="40" w:after="40"/>
            </w:pPr>
            <w:r w:rsidRPr="0021464B">
              <w:rPr>
                <w:b/>
              </w:rPr>
              <w:t>Showcasing A</w:t>
            </w:r>
            <w:r w:rsidR="00EC73DF" w:rsidRPr="0021464B">
              <w:rPr>
                <w:b/>
              </w:rPr>
              <w:t>ccomplishments</w:t>
            </w:r>
            <w:r w:rsidRPr="0021464B">
              <w:rPr>
                <w:b/>
              </w:rPr>
              <w:t>/Portfolio</w:t>
            </w:r>
            <w:r w:rsidR="00BF38CF" w:rsidRPr="0021464B">
              <w:rPr>
                <w:b/>
              </w:rPr>
              <w:t>.</w:t>
            </w:r>
            <w:r w:rsidR="00A4759C" w:rsidRPr="0021464B">
              <w:rPr>
                <w:b/>
              </w:rPr>
              <w:t xml:space="preserve"> </w:t>
            </w:r>
            <w:r w:rsidR="00A4759C" w:rsidRPr="0021464B">
              <w:t xml:space="preserve">In this final part of </w:t>
            </w:r>
            <w:r w:rsidR="00C609E7" w:rsidRPr="0021464B">
              <w:t xml:space="preserve">the </w:t>
            </w:r>
            <w:r w:rsidR="00A4759C" w:rsidRPr="0021464B">
              <w:t>sub-major attention could turn to showcasing all the work of the student through the c</w:t>
            </w:r>
            <w:r w:rsidR="00955EB6" w:rsidRPr="0021464B">
              <w:t xml:space="preserve">ompletion of </w:t>
            </w:r>
            <w:r w:rsidR="00C609E7" w:rsidRPr="0021464B">
              <w:t xml:space="preserve">a portfolio of </w:t>
            </w:r>
            <w:r w:rsidR="00955EB6" w:rsidRPr="0021464B">
              <w:t>writing</w:t>
            </w:r>
            <w:r w:rsidR="00A4759C" w:rsidRPr="0021464B">
              <w:t>. This portfolio could form part of the student</w:t>
            </w:r>
            <w:r w:rsidR="00766E2A" w:rsidRPr="0021464B">
              <w:t>’</w:t>
            </w:r>
            <w:r w:rsidR="00C609E7" w:rsidRPr="0021464B">
              <w:t>s</w:t>
            </w:r>
            <w:r w:rsidR="00A4759C" w:rsidRPr="0021464B">
              <w:t xml:space="preserve"> resume, be used to </w:t>
            </w:r>
            <w:r w:rsidR="00C609E7" w:rsidRPr="0021464B">
              <w:t xml:space="preserve">enter </w:t>
            </w:r>
            <w:r w:rsidR="00A4759C" w:rsidRPr="0021464B">
              <w:t>competitions or be used as part of an application for post-graduate study.</w:t>
            </w:r>
          </w:p>
        </w:tc>
      </w:tr>
      <w:tr w:rsidR="001C13F7" w:rsidRPr="0021464B" w14:paraId="634E7E67" w14:textId="77777777" w:rsidTr="008858C5">
        <w:tc>
          <w:tcPr>
            <w:tcW w:w="3369" w:type="dxa"/>
          </w:tcPr>
          <w:p w14:paraId="28439159" w14:textId="77777777" w:rsidR="001C13F7" w:rsidRPr="0021464B" w:rsidRDefault="00416AE3" w:rsidP="00BA2D23">
            <w:pPr>
              <w:spacing w:before="40" w:after="40"/>
            </w:pPr>
            <w:r w:rsidRPr="0021464B">
              <w:t>Elective 4 / Professional Concentration 4</w:t>
            </w:r>
            <w:r w:rsidR="00025540" w:rsidRPr="0021464B">
              <w:t xml:space="preserve"> (Performing Arts)</w:t>
            </w:r>
            <w:r w:rsidR="001C41CF" w:rsidRPr="0021464B">
              <w:t xml:space="preserve"> </w:t>
            </w:r>
            <w:r w:rsidR="001C41CF" w:rsidRPr="0021464B">
              <w:rPr>
                <w:i/>
              </w:rPr>
              <w:t>Music Sound Studio</w:t>
            </w:r>
          </w:p>
        </w:tc>
        <w:tc>
          <w:tcPr>
            <w:tcW w:w="5953" w:type="dxa"/>
          </w:tcPr>
          <w:p w14:paraId="432BD7B4" w14:textId="329DD783" w:rsidR="00C609E7" w:rsidRPr="0021464B" w:rsidRDefault="008F159A" w:rsidP="00BA2D23">
            <w:pPr>
              <w:spacing w:before="40" w:after="40"/>
            </w:pPr>
            <w:r w:rsidRPr="0021464B">
              <w:rPr>
                <w:b/>
              </w:rPr>
              <w:t>Create podcast</w:t>
            </w:r>
            <w:r w:rsidR="00BF38CF" w:rsidRPr="0021464B">
              <w:rPr>
                <w:b/>
              </w:rPr>
              <w:t xml:space="preserve"> and </w:t>
            </w:r>
            <w:r w:rsidR="00955EB6" w:rsidRPr="0021464B">
              <w:rPr>
                <w:b/>
              </w:rPr>
              <w:t>RSS feed</w:t>
            </w:r>
            <w:r w:rsidR="00BF38CF" w:rsidRPr="0021464B">
              <w:rPr>
                <w:b/>
              </w:rPr>
              <w:t>.</w:t>
            </w:r>
            <w:r w:rsidR="00955EB6" w:rsidRPr="0021464B">
              <w:rPr>
                <w:b/>
              </w:rPr>
              <w:t xml:space="preserve"> </w:t>
            </w:r>
            <w:r w:rsidR="00822D21" w:rsidRPr="0021464B">
              <w:t>Various items of assessment for this course involve the creation of sound files</w:t>
            </w:r>
            <w:r w:rsidR="00C609E7" w:rsidRPr="0021464B">
              <w:t xml:space="preserve"> (*</w:t>
            </w:r>
            <w:r w:rsidR="0088675C">
              <w:t>.</w:t>
            </w:r>
            <w:r w:rsidR="0088675C" w:rsidRPr="0021464B">
              <w:t>mp3’s</w:t>
            </w:r>
            <w:r w:rsidR="00C609E7" w:rsidRPr="0021464B">
              <w:t>)</w:t>
            </w:r>
            <w:r w:rsidR="00822D21" w:rsidRPr="0021464B">
              <w:t xml:space="preserve">. </w:t>
            </w:r>
            <w:r w:rsidR="004768E3" w:rsidRPr="0021464B">
              <w:t xml:space="preserve">Mahara provides an ideal platform for presentation of these as standalone files or as podcasts with RSS feeds. </w:t>
            </w:r>
            <w:r w:rsidR="003E1304" w:rsidRPr="0021464B">
              <w:t xml:space="preserve">As with previously mentioned media files they then become available for storage, personal reflection, assessment and feedback. </w:t>
            </w:r>
          </w:p>
          <w:p w14:paraId="03FEDC1A" w14:textId="77777777" w:rsidR="001C13F7" w:rsidRPr="0021464B" w:rsidRDefault="003E1304" w:rsidP="00BA2D23">
            <w:pPr>
              <w:spacing w:before="40" w:after="40"/>
            </w:pPr>
            <w:r w:rsidRPr="0021464B">
              <w:t xml:space="preserve">Successful pieces of work could become part of </w:t>
            </w:r>
            <w:r w:rsidR="00766E2A" w:rsidRPr="0021464B">
              <w:t xml:space="preserve">a </w:t>
            </w:r>
            <w:r w:rsidR="00DE6DDB" w:rsidRPr="0021464B">
              <w:t>student’s</w:t>
            </w:r>
            <w:r w:rsidRPr="0021464B">
              <w:t xml:space="preserve"> profiles or evidence of a professional competency in the field of sound engineering. </w:t>
            </w:r>
          </w:p>
        </w:tc>
      </w:tr>
    </w:tbl>
    <w:p w14:paraId="55540EA8" w14:textId="77777777" w:rsidR="00A4759C" w:rsidRPr="0021464B" w:rsidRDefault="00A4759C">
      <w:pPr>
        <w:rPr>
          <w:b/>
        </w:rPr>
      </w:pPr>
    </w:p>
    <w:p w14:paraId="667A1EDB" w14:textId="77777777" w:rsidR="006E4186" w:rsidRPr="0021464B" w:rsidRDefault="006E4186" w:rsidP="00631EAE">
      <w:pPr>
        <w:keepNext/>
        <w:keepLines/>
        <w:widowControl w:val="0"/>
        <w:autoSpaceDE w:val="0"/>
        <w:autoSpaceDN w:val="0"/>
        <w:adjustRightInd w:val="0"/>
        <w:spacing w:before="480" w:after="0"/>
        <w:rPr>
          <w:rFonts w:cs="Cambria"/>
          <w:b/>
          <w:bCs/>
          <w:lang w:val="en"/>
        </w:rPr>
      </w:pPr>
      <w:r w:rsidRPr="0021464B">
        <w:rPr>
          <w:rFonts w:cs="Cambria"/>
          <w:b/>
          <w:bCs/>
          <w:lang w:val="en"/>
        </w:rPr>
        <w:lastRenderedPageBreak/>
        <w:t>Appendix 1</w:t>
      </w:r>
    </w:p>
    <w:p w14:paraId="14C329B0" w14:textId="75FE9EA8" w:rsidR="00631EAE" w:rsidRPr="0021464B" w:rsidRDefault="00631EAE" w:rsidP="00631EAE">
      <w:pPr>
        <w:keepNext/>
        <w:keepLines/>
        <w:widowControl w:val="0"/>
        <w:autoSpaceDE w:val="0"/>
        <w:autoSpaceDN w:val="0"/>
        <w:adjustRightInd w:val="0"/>
        <w:spacing w:before="480" w:after="0"/>
        <w:rPr>
          <w:rFonts w:cs="Cambria"/>
          <w:b/>
          <w:bCs/>
          <w:lang w:val="en"/>
        </w:rPr>
      </w:pPr>
      <w:r w:rsidRPr="0021464B">
        <w:rPr>
          <w:rFonts w:cs="Cambria"/>
          <w:b/>
          <w:bCs/>
          <w:lang w:val="en"/>
        </w:rPr>
        <w:t>Mahara and ePortfolio Glossary</w:t>
      </w:r>
      <w:bookmarkStart w:id="0" w:name="_GoBack"/>
      <w:bookmarkEnd w:id="0"/>
    </w:p>
    <w:p w14:paraId="1E22F292" w14:textId="77777777" w:rsidR="00631EAE" w:rsidRPr="0021464B" w:rsidRDefault="00631EAE" w:rsidP="00631EAE">
      <w:pPr>
        <w:widowControl w:val="0"/>
        <w:autoSpaceDE w:val="0"/>
        <w:autoSpaceDN w:val="0"/>
        <w:adjustRightInd w:val="0"/>
        <w:rPr>
          <w:rFonts w:cs="Calibri"/>
          <w:lang w:val="en"/>
        </w:rPr>
      </w:pPr>
    </w:p>
    <w:p w14:paraId="3DC09644" w14:textId="77777777" w:rsidR="00631EAE" w:rsidRPr="0021464B" w:rsidRDefault="00631EAE" w:rsidP="00631EAE">
      <w:pPr>
        <w:widowControl w:val="0"/>
        <w:autoSpaceDE w:val="0"/>
        <w:autoSpaceDN w:val="0"/>
        <w:adjustRightInd w:val="0"/>
        <w:rPr>
          <w:rFonts w:cs="Calibri"/>
          <w:b/>
          <w:bCs/>
          <w:lang w:val="en"/>
        </w:rPr>
      </w:pPr>
      <w:r w:rsidRPr="0021464B">
        <w:rPr>
          <w:rFonts w:cs="Calibri"/>
          <w:b/>
          <w:bCs/>
          <w:lang w:val="en"/>
        </w:rPr>
        <w:t>Collection</w:t>
      </w:r>
      <w:r w:rsidRPr="0021464B">
        <w:rPr>
          <w:rFonts w:cs="Calibri"/>
          <w:lang w:val="en"/>
        </w:rPr>
        <w:t>- A set of views which allows a user to highlight particular aspects of his/her work</w:t>
      </w:r>
    </w:p>
    <w:p w14:paraId="205196A2" w14:textId="77777777" w:rsidR="00631EAE" w:rsidRPr="0021464B" w:rsidRDefault="00631EAE" w:rsidP="00631EAE">
      <w:pPr>
        <w:widowControl w:val="0"/>
        <w:autoSpaceDE w:val="0"/>
        <w:autoSpaceDN w:val="0"/>
        <w:adjustRightInd w:val="0"/>
        <w:rPr>
          <w:rFonts w:cs="Calibri"/>
          <w:lang w:val="en"/>
        </w:rPr>
      </w:pPr>
      <w:r w:rsidRPr="0021464B">
        <w:rPr>
          <w:rFonts w:cs="Calibri"/>
          <w:b/>
          <w:bCs/>
          <w:lang w:val="en"/>
        </w:rPr>
        <w:t xml:space="preserve">ePortfolio, </w:t>
      </w:r>
      <w:r w:rsidRPr="0021464B">
        <w:rPr>
          <w:rFonts w:cs="Calibri"/>
          <w:lang w:val="en"/>
        </w:rPr>
        <w:t xml:space="preserve">sometimes, eP – 1.  An information technology system used to collect, store and present electronic items known as </w:t>
      </w:r>
      <w:r w:rsidRPr="0021464B">
        <w:rPr>
          <w:rFonts w:cs="Calibri"/>
          <w:i/>
          <w:iCs/>
          <w:lang w:val="en"/>
        </w:rPr>
        <w:t>artefacts</w:t>
      </w:r>
      <w:r w:rsidRPr="0021464B">
        <w:rPr>
          <w:rFonts w:cs="Calibri"/>
          <w:lang w:val="en"/>
        </w:rPr>
        <w:t xml:space="preserve">.  Mahara or Pebble Pad are examples of eP systems.  2. One particular collection of electronic artefacts owned by an individual or group.  </w:t>
      </w:r>
    </w:p>
    <w:p w14:paraId="750C75DA" w14:textId="77777777" w:rsidR="00631EAE" w:rsidRPr="0021464B" w:rsidRDefault="00631EAE" w:rsidP="00631EAE">
      <w:pPr>
        <w:widowControl w:val="0"/>
        <w:autoSpaceDE w:val="0"/>
        <w:autoSpaceDN w:val="0"/>
        <w:adjustRightInd w:val="0"/>
        <w:rPr>
          <w:rFonts w:cs="Calibri"/>
          <w:b/>
          <w:bCs/>
          <w:lang w:val="en"/>
        </w:rPr>
      </w:pPr>
      <w:r w:rsidRPr="0021464B">
        <w:rPr>
          <w:rFonts w:cs="Calibri"/>
          <w:b/>
          <w:bCs/>
          <w:lang w:val="en"/>
        </w:rPr>
        <w:t xml:space="preserve">File – </w:t>
      </w:r>
      <w:r w:rsidRPr="0021464B">
        <w:rPr>
          <w:rFonts w:cs="Calibri"/>
          <w:lang w:val="en"/>
        </w:rPr>
        <w:t>A unit or set of information which can be displayed in an eportfolio, e.g., a document, video clip or image.  Files can exist separately from the eP system and must be uploaded into the sytem.</w:t>
      </w:r>
    </w:p>
    <w:p w14:paraId="7A122474" w14:textId="77777777" w:rsidR="00631EAE" w:rsidRPr="0021464B" w:rsidRDefault="00631EAE" w:rsidP="00631EAE">
      <w:pPr>
        <w:widowControl w:val="0"/>
        <w:autoSpaceDE w:val="0"/>
        <w:autoSpaceDN w:val="0"/>
        <w:adjustRightInd w:val="0"/>
        <w:rPr>
          <w:rFonts w:cs="Calibri"/>
          <w:b/>
          <w:bCs/>
          <w:lang w:val="en"/>
        </w:rPr>
      </w:pPr>
      <w:r w:rsidRPr="0021464B">
        <w:rPr>
          <w:rFonts w:cs="Calibri"/>
          <w:b/>
          <w:bCs/>
          <w:lang w:val="en"/>
        </w:rPr>
        <w:t xml:space="preserve">Friend </w:t>
      </w:r>
      <w:r w:rsidRPr="0021464B">
        <w:rPr>
          <w:rFonts w:cs="Calibri"/>
          <w:lang w:val="en"/>
        </w:rPr>
        <w:t>– Status which signifies a connection between users of the eP system.  This status is used to control who can see a user’s eP and who can communicate with them within the system.</w:t>
      </w:r>
    </w:p>
    <w:p w14:paraId="250D6483" w14:textId="77777777" w:rsidR="00631EAE" w:rsidRPr="0021464B" w:rsidRDefault="00631EAE" w:rsidP="00631EAE">
      <w:pPr>
        <w:widowControl w:val="0"/>
        <w:autoSpaceDE w:val="0"/>
        <w:autoSpaceDN w:val="0"/>
        <w:adjustRightInd w:val="0"/>
        <w:rPr>
          <w:rFonts w:cs="Calibri"/>
          <w:b/>
          <w:bCs/>
          <w:lang w:val="en"/>
        </w:rPr>
      </w:pPr>
      <w:r w:rsidRPr="0021464B">
        <w:rPr>
          <w:rFonts w:cs="Calibri"/>
          <w:b/>
          <w:bCs/>
          <w:lang w:val="en"/>
        </w:rPr>
        <w:t xml:space="preserve">Group – </w:t>
      </w:r>
      <w:r w:rsidRPr="0021464B">
        <w:rPr>
          <w:rFonts w:cs="Calibri"/>
          <w:lang w:val="en"/>
        </w:rPr>
        <w:t>A collection of users.  Membership within a group can be used similarly to friend status to control access and communication within the system.  For example, lecturers might create groups related to their course and users who are members of the group can have shared access to one anothers’ ePs.</w:t>
      </w:r>
      <w:r w:rsidRPr="0021464B">
        <w:rPr>
          <w:rFonts w:cs="Calibri"/>
          <w:lang w:val="en"/>
        </w:rPr>
        <w:tab/>
      </w:r>
    </w:p>
    <w:p w14:paraId="0DD5BE80" w14:textId="77777777" w:rsidR="00631EAE" w:rsidRPr="0021464B" w:rsidRDefault="00631EAE" w:rsidP="00631EAE">
      <w:pPr>
        <w:widowControl w:val="0"/>
        <w:autoSpaceDE w:val="0"/>
        <w:autoSpaceDN w:val="0"/>
        <w:adjustRightInd w:val="0"/>
        <w:rPr>
          <w:rFonts w:cs="Calibri"/>
          <w:b/>
          <w:bCs/>
          <w:lang w:val="en"/>
        </w:rPr>
      </w:pPr>
      <w:r w:rsidRPr="0021464B">
        <w:rPr>
          <w:rFonts w:cs="Calibri"/>
          <w:b/>
          <w:bCs/>
          <w:lang w:val="en"/>
        </w:rPr>
        <w:t xml:space="preserve">Profile – </w:t>
      </w:r>
      <w:r w:rsidRPr="0021464B">
        <w:rPr>
          <w:rFonts w:cs="Calibri"/>
          <w:lang w:val="en"/>
        </w:rPr>
        <w:t>a page which contains information about a user.  Each user has a profile page.</w:t>
      </w:r>
      <w:r w:rsidRPr="0021464B">
        <w:rPr>
          <w:rFonts w:cs="Calibri"/>
          <w:b/>
          <w:bCs/>
          <w:lang w:val="en"/>
        </w:rPr>
        <w:t xml:space="preserve"> </w:t>
      </w:r>
      <w:r w:rsidRPr="0021464B">
        <w:rPr>
          <w:rFonts w:cs="Calibri"/>
          <w:lang w:val="en"/>
        </w:rPr>
        <w:t xml:space="preserve"> Each user can add information to the profile page and control others’ access to it.</w:t>
      </w:r>
    </w:p>
    <w:p w14:paraId="5BF9DDDC" w14:textId="77777777" w:rsidR="00631EAE" w:rsidRPr="0021464B" w:rsidRDefault="00631EAE" w:rsidP="00631EAE">
      <w:pPr>
        <w:widowControl w:val="0"/>
        <w:autoSpaceDE w:val="0"/>
        <w:autoSpaceDN w:val="0"/>
        <w:adjustRightInd w:val="0"/>
        <w:rPr>
          <w:rFonts w:cs="Calibri"/>
          <w:b/>
          <w:bCs/>
          <w:lang w:val="en"/>
        </w:rPr>
      </w:pPr>
      <w:r w:rsidRPr="0021464B">
        <w:rPr>
          <w:rFonts w:cs="Calibri"/>
          <w:b/>
          <w:bCs/>
          <w:lang w:val="en"/>
        </w:rPr>
        <w:t xml:space="preserve">Resume – </w:t>
      </w:r>
      <w:r w:rsidRPr="0021464B">
        <w:rPr>
          <w:rFonts w:cs="Calibri"/>
          <w:lang w:val="en"/>
        </w:rPr>
        <w:t>a special set of information including a user’s contact details, education, employment, goals and other personal information.  Information in the resume is added by each user and different parts of the resume can be used together (as a resume) or separately, with other files as part of a view.</w:t>
      </w:r>
    </w:p>
    <w:p w14:paraId="1BC124F4" w14:textId="77777777" w:rsidR="00631EAE" w:rsidRPr="0021464B" w:rsidRDefault="00631EAE" w:rsidP="00631EAE">
      <w:pPr>
        <w:widowControl w:val="0"/>
        <w:autoSpaceDE w:val="0"/>
        <w:autoSpaceDN w:val="0"/>
        <w:adjustRightInd w:val="0"/>
        <w:rPr>
          <w:rFonts w:cs="Calibri"/>
          <w:lang w:val="en"/>
        </w:rPr>
      </w:pPr>
      <w:r w:rsidRPr="0021464B">
        <w:rPr>
          <w:rFonts w:cs="Calibri"/>
          <w:b/>
          <w:bCs/>
          <w:lang w:val="en"/>
        </w:rPr>
        <w:t>RSS</w:t>
      </w:r>
      <w:r w:rsidRPr="0021464B">
        <w:rPr>
          <w:rFonts w:cs="Calibri"/>
          <w:lang w:val="en"/>
        </w:rPr>
        <w:t xml:space="preserve"> – stands for ‘Really Simple Syndication’ and is a system in which information is ‘pushed’ out to a user who has ‘subscribed’ rather than the user having to visit the site where the information was published.  </w:t>
      </w:r>
    </w:p>
    <w:p w14:paraId="397C7691" w14:textId="2E2C7737" w:rsidR="00A90897" w:rsidRPr="0021464B" w:rsidRDefault="00A90897" w:rsidP="00631EAE">
      <w:pPr>
        <w:widowControl w:val="0"/>
        <w:autoSpaceDE w:val="0"/>
        <w:autoSpaceDN w:val="0"/>
        <w:adjustRightInd w:val="0"/>
        <w:rPr>
          <w:rFonts w:cs="Calibri"/>
          <w:lang w:val="en"/>
        </w:rPr>
      </w:pPr>
      <w:r w:rsidRPr="0021464B">
        <w:rPr>
          <w:rFonts w:cs="Calibri"/>
          <w:b/>
          <w:lang w:val="en"/>
        </w:rPr>
        <w:t xml:space="preserve">Smart-Phone </w:t>
      </w:r>
      <w:r w:rsidR="007B11F1" w:rsidRPr="0021464B">
        <w:rPr>
          <w:rFonts w:cs="Calibri"/>
          <w:b/>
          <w:lang w:val="en"/>
        </w:rPr>
        <w:t>–</w:t>
      </w:r>
      <w:r w:rsidRPr="0021464B">
        <w:rPr>
          <w:rFonts w:cs="Calibri"/>
          <w:b/>
          <w:lang w:val="en"/>
        </w:rPr>
        <w:t xml:space="preserve"> </w:t>
      </w:r>
      <w:r w:rsidR="007B11F1" w:rsidRPr="0021464B">
        <w:rPr>
          <w:rFonts w:cs="Calibri"/>
          <w:lang w:val="en"/>
        </w:rPr>
        <w:t>A smart-phone is a mobile phone device offering advanced features. These include greater connectivity to the Internet, larger touchscreens and the ability to run a wide range of applications. As such they are becoming like handheld computers, though it should be noted that smart-phones currently have so</w:t>
      </w:r>
      <w:r w:rsidR="007F4024" w:rsidRPr="0021464B">
        <w:rPr>
          <w:rFonts w:cs="Calibri"/>
          <w:lang w:val="en"/>
        </w:rPr>
        <w:t>me limitations with the</w:t>
      </w:r>
      <w:r w:rsidR="000C3645" w:rsidRPr="0021464B">
        <w:rPr>
          <w:rFonts w:cs="Calibri"/>
          <w:lang w:val="en"/>
        </w:rPr>
        <w:t xml:space="preserve"> </w:t>
      </w:r>
      <w:r w:rsidR="007B11F1" w:rsidRPr="0021464B">
        <w:rPr>
          <w:rFonts w:cs="Calibri"/>
          <w:lang w:val="en"/>
        </w:rPr>
        <w:t xml:space="preserve">displaying of multiple screens or </w:t>
      </w:r>
      <w:r w:rsidR="000C3645" w:rsidRPr="0021464B">
        <w:rPr>
          <w:rFonts w:cs="Calibri"/>
          <w:lang w:val="en"/>
        </w:rPr>
        <w:t xml:space="preserve">the running of multiple </w:t>
      </w:r>
      <w:r w:rsidR="007B11F1" w:rsidRPr="0021464B">
        <w:rPr>
          <w:rFonts w:cs="Calibri"/>
          <w:lang w:val="en"/>
        </w:rPr>
        <w:t xml:space="preserve">applications. </w:t>
      </w:r>
    </w:p>
    <w:p w14:paraId="5BB36AEC" w14:textId="77777777" w:rsidR="00631EAE" w:rsidRPr="0021464B" w:rsidRDefault="00631EAE" w:rsidP="00631EAE">
      <w:pPr>
        <w:widowControl w:val="0"/>
        <w:autoSpaceDE w:val="0"/>
        <w:autoSpaceDN w:val="0"/>
        <w:adjustRightInd w:val="0"/>
        <w:rPr>
          <w:rFonts w:cs="Calibri"/>
          <w:lang w:val="en"/>
        </w:rPr>
      </w:pPr>
      <w:r w:rsidRPr="0021464B">
        <w:rPr>
          <w:rFonts w:cs="Calibri"/>
          <w:b/>
          <w:bCs/>
          <w:lang w:val="en"/>
        </w:rPr>
        <w:t>View</w:t>
      </w:r>
      <w:r w:rsidRPr="0021464B">
        <w:rPr>
          <w:rFonts w:cs="Calibri"/>
          <w:lang w:val="en"/>
        </w:rPr>
        <w:t>- A compilation of information and files which have been arranged to present particular aspects of a user’s work to a known audience.</w:t>
      </w:r>
    </w:p>
    <w:p w14:paraId="0E2ADC5C" w14:textId="48D0822B" w:rsidR="009554E3" w:rsidRPr="0021464B" w:rsidRDefault="009554E3" w:rsidP="00631EAE">
      <w:pPr>
        <w:widowControl w:val="0"/>
        <w:autoSpaceDE w:val="0"/>
        <w:autoSpaceDN w:val="0"/>
        <w:adjustRightInd w:val="0"/>
        <w:rPr>
          <w:rFonts w:cs="Calibri"/>
          <w:lang w:val="en"/>
        </w:rPr>
      </w:pPr>
      <w:r w:rsidRPr="0021464B">
        <w:rPr>
          <w:rFonts w:cs="Calibri"/>
          <w:lang w:val="en"/>
        </w:rPr>
        <w:br w:type="page"/>
      </w:r>
    </w:p>
    <w:p w14:paraId="684BED87" w14:textId="1C9BA779" w:rsidR="009554E3" w:rsidRPr="0021464B" w:rsidRDefault="009554E3" w:rsidP="009554E3">
      <w:r w:rsidRPr="0021464B">
        <w:rPr>
          <w:b/>
        </w:rPr>
        <w:lastRenderedPageBreak/>
        <w:t>References</w:t>
      </w:r>
      <w:r w:rsidR="00A66792" w:rsidRPr="0021464B">
        <w:rPr>
          <w:b/>
        </w:rPr>
        <w:br/>
      </w:r>
      <w:r w:rsidRPr="0021464B">
        <w:rPr>
          <w:b/>
        </w:rPr>
        <w:br/>
      </w:r>
      <w:r w:rsidRPr="0021464B">
        <w:t xml:space="preserve">Barrett, H 2009, </w:t>
      </w:r>
      <w:r w:rsidRPr="0021464B">
        <w:rPr>
          <w:i/>
        </w:rPr>
        <w:t>Balancing the two faces of ePortfolios</w:t>
      </w:r>
      <w:r w:rsidRPr="0021464B">
        <w:t xml:space="preserve">, [Retrieved November 24, 2010 from </w:t>
      </w:r>
      <w:hyperlink r:id="rId9" w:history="1">
        <w:r w:rsidR="00FD3E05" w:rsidRPr="0021464B">
          <w:rPr>
            <w:rStyle w:val="Hyperlink"/>
          </w:rPr>
          <w:t>http://electronicportfolios.com/balance/balance.pdf</w:t>
        </w:r>
      </w:hyperlink>
      <w:r w:rsidRPr="0021464B">
        <w:t>]</w:t>
      </w:r>
    </w:p>
    <w:p w14:paraId="6C397BEB" w14:textId="2698D57B" w:rsidR="00FD3E05" w:rsidRDefault="0021464B" w:rsidP="009554E3">
      <w:pPr>
        <w:rPr>
          <w:rFonts w:cs="Times New Roman"/>
          <w:color w:val="000000"/>
          <w:lang w:val="en-US"/>
        </w:rPr>
      </w:pPr>
      <w:r>
        <w:rPr>
          <w:rFonts w:cs="Times New Roman"/>
          <w:color w:val="000000"/>
          <w:lang w:val="en-US"/>
        </w:rPr>
        <w:t xml:space="preserve">Smith, K </w:t>
      </w:r>
      <w:r w:rsidR="00FD3E05" w:rsidRPr="0021464B">
        <w:rPr>
          <w:rFonts w:cs="Times New Roman"/>
          <w:color w:val="000000"/>
          <w:lang w:val="en-US"/>
        </w:rPr>
        <w:t>&amp; Ti</w:t>
      </w:r>
      <w:r>
        <w:rPr>
          <w:rFonts w:cs="Times New Roman"/>
          <w:color w:val="000000"/>
          <w:lang w:val="en-US"/>
        </w:rPr>
        <w:t>llema, H 2003,</w:t>
      </w:r>
      <w:r w:rsidR="00FD3E05" w:rsidRPr="0021464B">
        <w:rPr>
          <w:rFonts w:cs="Times New Roman"/>
          <w:color w:val="000000"/>
          <w:lang w:val="en-US"/>
        </w:rPr>
        <w:t xml:space="preserve"> </w:t>
      </w:r>
      <w:r w:rsidR="003F4F56" w:rsidRPr="003F4F56">
        <w:rPr>
          <w:rFonts w:cs="Times New Roman"/>
          <w:color w:val="000000"/>
          <w:lang w:val="en-US"/>
        </w:rPr>
        <w:t>‘</w:t>
      </w:r>
      <w:r w:rsidR="00FD3E05" w:rsidRPr="003F4F56">
        <w:rPr>
          <w:rFonts w:cs="Times New Roman"/>
          <w:color w:val="000000"/>
          <w:lang w:val="en-US"/>
        </w:rPr>
        <w:t>Clarifying d</w:t>
      </w:r>
      <w:r w:rsidRPr="003F4F56">
        <w:rPr>
          <w:rFonts w:cs="Times New Roman"/>
          <w:color w:val="000000"/>
          <w:lang w:val="en-US"/>
        </w:rPr>
        <w:t>ifferent types of portfolio use</w:t>
      </w:r>
      <w:r w:rsidR="003F4F56" w:rsidRPr="003F4F56">
        <w:rPr>
          <w:rFonts w:cs="Times New Roman"/>
          <w:color w:val="000000"/>
          <w:lang w:val="en-US"/>
        </w:rPr>
        <w:t>’,</w:t>
      </w:r>
      <w:r w:rsidR="003F4F56">
        <w:rPr>
          <w:rFonts w:cs="Times New Roman"/>
          <w:color w:val="000000"/>
          <w:lang w:val="en-US"/>
        </w:rPr>
        <w:t xml:space="preserve"> </w:t>
      </w:r>
      <w:r w:rsidR="00FD3E05" w:rsidRPr="003F4F56">
        <w:rPr>
          <w:rFonts w:cs="Times New Roman"/>
          <w:i/>
          <w:iCs/>
          <w:color w:val="000000"/>
          <w:lang w:val="en-US"/>
        </w:rPr>
        <w:t>Assessment and Evaluation in Higher Education</w:t>
      </w:r>
      <w:r w:rsidR="00FD3E05" w:rsidRPr="0021464B">
        <w:rPr>
          <w:rFonts w:cs="Times New Roman"/>
          <w:i/>
          <w:iCs/>
          <w:color w:val="000000"/>
          <w:lang w:val="en-US"/>
        </w:rPr>
        <w:t xml:space="preserve">, </w:t>
      </w:r>
      <w:r w:rsidR="003F4F56" w:rsidRPr="003F4F56">
        <w:rPr>
          <w:rFonts w:cs="Times New Roman"/>
          <w:iCs/>
          <w:color w:val="000000"/>
          <w:lang w:val="en-US"/>
        </w:rPr>
        <w:t xml:space="preserve">vol. 6, no. 28, pp. </w:t>
      </w:r>
      <w:r w:rsidR="00FD3E05" w:rsidRPr="003F4F56">
        <w:rPr>
          <w:rFonts w:cs="Times New Roman"/>
          <w:color w:val="000000"/>
          <w:lang w:val="en-US"/>
        </w:rPr>
        <w:t>625 - 648.</w:t>
      </w:r>
    </w:p>
    <w:p w14:paraId="3E85CF56" w14:textId="08699E1D" w:rsidR="007324CE" w:rsidRPr="0021464B" w:rsidRDefault="00A343CA" w:rsidP="009554E3">
      <w:pPr>
        <w:rPr>
          <w:b/>
        </w:rPr>
      </w:pPr>
      <w:r>
        <w:rPr>
          <w:rFonts w:cs="Times New Roman"/>
          <w:color w:val="000000"/>
          <w:lang w:val="en-US"/>
        </w:rPr>
        <w:t>Hallam</w:t>
      </w:r>
      <w:r w:rsidR="005B1646">
        <w:rPr>
          <w:rFonts w:cs="Times New Roman"/>
          <w:color w:val="000000"/>
          <w:lang w:val="en-US"/>
        </w:rPr>
        <w:t>,</w:t>
      </w:r>
      <w:r>
        <w:rPr>
          <w:rFonts w:cs="Times New Roman"/>
          <w:color w:val="000000"/>
          <w:lang w:val="en-US"/>
        </w:rPr>
        <w:t xml:space="preserve"> </w:t>
      </w:r>
      <w:r w:rsidR="007324CE">
        <w:rPr>
          <w:rFonts w:cs="Times New Roman"/>
          <w:color w:val="000000"/>
          <w:lang w:val="en-US"/>
        </w:rPr>
        <w:t>G</w:t>
      </w:r>
      <w:r>
        <w:rPr>
          <w:rFonts w:cs="Times New Roman"/>
          <w:color w:val="000000"/>
          <w:lang w:val="en-US"/>
        </w:rPr>
        <w:t>,</w:t>
      </w:r>
      <w:r w:rsidR="007324CE">
        <w:rPr>
          <w:rFonts w:cs="Times New Roman"/>
          <w:color w:val="000000"/>
          <w:lang w:val="en-US"/>
        </w:rPr>
        <w:t xml:space="preserve"> </w:t>
      </w:r>
      <w:r>
        <w:rPr>
          <w:rFonts w:cs="Times New Roman"/>
          <w:color w:val="000000"/>
          <w:lang w:val="en-US"/>
        </w:rPr>
        <w:t>Harper</w:t>
      </w:r>
      <w:r w:rsidR="005B1646">
        <w:rPr>
          <w:rFonts w:cs="Times New Roman"/>
          <w:color w:val="000000"/>
          <w:lang w:val="en-US"/>
        </w:rPr>
        <w:t>,</w:t>
      </w:r>
      <w:r>
        <w:rPr>
          <w:rFonts w:cs="Times New Roman"/>
          <w:color w:val="000000"/>
          <w:lang w:val="en-US"/>
        </w:rPr>
        <w:t xml:space="preserve"> </w:t>
      </w:r>
      <w:r w:rsidR="007324CE">
        <w:rPr>
          <w:rFonts w:cs="Times New Roman"/>
          <w:color w:val="000000"/>
          <w:lang w:val="en-US"/>
        </w:rPr>
        <w:t>W</w:t>
      </w:r>
      <w:r>
        <w:rPr>
          <w:rFonts w:cs="Times New Roman"/>
          <w:color w:val="000000"/>
          <w:lang w:val="en-US"/>
        </w:rPr>
        <w:t>, McAllister</w:t>
      </w:r>
      <w:r w:rsidR="005B1646">
        <w:rPr>
          <w:rFonts w:cs="Times New Roman"/>
          <w:color w:val="000000"/>
          <w:lang w:val="en-US"/>
        </w:rPr>
        <w:t>, L, Hauvill</w:t>
      </w:r>
      <w:r>
        <w:rPr>
          <w:rFonts w:cs="Times New Roman"/>
          <w:color w:val="000000"/>
          <w:lang w:val="en-US"/>
        </w:rPr>
        <w:t>e</w:t>
      </w:r>
      <w:r w:rsidR="005B1646">
        <w:rPr>
          <w:rFonts w:cs="Times New Roman"/>
          <w:color w:val="000000"/>
          <w:lang w:val="en-US"/>
        </w:rPr>
        <w:t>,</w:t>
      </w:r>
      <w:r>
        <w:rPr>
          <w:rFonts w:cs="Times New Roman"/>
          <w:color w:val="000000"/>
          <w:lang w:val="en-US"/>
        </w:rPr>
        <w:t xml:space="preserve"> </w:t>
      </w:r>
      <w:r w:rsidR="007324CE">
        <w:rPr>
          <w:rFonts w:cs="Times New Roman"/>
          <w:color w:val="000000"/>
          <w:lang w:val="en-US"/>
        </w:rPr>
        <w:t>K</w:t>
      </w:r>
      <w:r>
        <w:rPr>
          <w:rFonts w:cs="Times New Roman"/>
          <w:color w:val="000000"/>
          <w:lang w:val="en-US"/>
        </w:rPr>
        <w:t>, &amp; Creagh</w:t>
      </w:r>
      <w:r w:rsidR="005B1646">
        <w:rPr>
          <w:rFonts w:cs="Times New Roman"/>
          <w:color w:val="000000"/>
          <w:lang w:val="en-US"/>
        </w:rPr>
        <w:t>,</w:t>
      </w:r>
      <w:r>
        <w:rPr>
          <w:rFonts w:cs="Times New Roman"/>
          <w:color w:val="000000"/>
          <w:lang w:val="en-US"/>
        </w:rPr>
        <w:t xml:space="preserve"> </w:t>
      </w:r>
      <w:r w:rsidR="007324CE">
        <w:rPr>
          <w:rFonts w:cs="Times New Roman"/>
          <w:color w:val="000000"/>
          <w:lang w:val="en-US"/>
        </w:rPr>
        <w:t xml:space="preserve">T </w:t>
      </w:r>
      <w:r w:rsidR="000C064A">
        <w:rPr>
          <w:rFonts w:cs="Times New Roman"/>
          <w:color w:val="000000"/>
          <w:lang w:val="en-US"/>
        </w:rPr>
        <w:t xml:space="preserve">2010, </w:t>
      </w:r>
      <w:r w:rsidR="000C064A" w:rsidRPr="005B1646">
        <w:rPr>
          <w:rFonts w:cs="Times New Roman"/>
          <w:i/>
          <w:color w:val="000000"/>
          <w:lang w:val="en-US"/>
        </w:rPr>
        <w:t>ePortfolio use by university students in Australia: Informing excellence in policy and practice</w:t>
      </w:r>
      <w:r w:rsidR="00BF7579" w:rsidRPr="005B1646">
        <w:rPr>
          <w:rFonts w:cs="Times New Roman"/>
          <w:i/>
          <w:color w:val="000000"/>
          <w:lang w:val="en-US"/>
        </w:rPr>
        <w:t xml:space="preserve"> (</w:t>
      </w:r>
      <w:r w:rsidR="000C064A" w:rsidRPr="005B1646">
        <w:rPr>
          <w:rFonts w:cs="Times New Roman"/>
          <w:i/>
          <w:color w:val="000000"/>
          <w:lang w:val="en-US"/>
        </w:rPr>
        <w:t>Supplementary Report</w:t>
      </w:r>
      <w:r w:rsidR="00BF7579" w:rsidRPr="005B1646">
        <w:rPr>
          <w:rFonts w:cs="Times New Roman"/>
          <w:i/>
          <w:color w:val="000000"/>
          <w:lang w:val="en-US"/>
        </w:rPr>
        <w:t>)</w:t>
      </w:r>
      <w:r w:rsidR="00BF7579">
        <w:rPr>
          <w:rFonts w:cs="Times New Roman"/>
          <w:color w:val="000000"/>
          <w:lang w:val="en-US"/>
        </w:rPr>
        <w:t>, Australian Learning and Teaching Council.</w:t>
      </w:r>
      <w:r w:rsidR="000C064A">
        <w:rPr>
          <w:rFonts w:cs="Times New Roman"/>
          <w:color w:val="000000"/>
          <w:lang w:val="en-US"/>
        </w:rPr>
        <w:t xml:space="preserve"> </w:t>
      </w:r>
    </w:p>
    <w:p w14:paraId="021E87C9" w14:textId="77777777" w:rsidR="009554E3" w:rsidRPr="0021464B" w:rsidRDefault="009554E3" w:rsidP="00631EAE">
      <w:pPr>
        <w:widowControl w:val="0"/>
        <w:autoSpaceDE w:val="0"/>
        <w:autoSpaceDN w:val="0"/>
        <w:adjustRightInd w:val="0"/>
        <w:rPr>
          <w:rFonts w:cs="Calibri"/>
          <w:b/>
          <w:bCs/>
          <w:lang w:val="en"/>
        </w:rPr>
      </w:pPr>
    </w:p>
    <w:p w14:paraId="0D19C81D" w14:textId="77777777" w:rsidR="00631EAE" w:rsidRPr="0021464B" w:rsidRDefault="00631EAE" w:rsidP="00631EAE">
      <w:pPr>
        <w:widowControl w:val="0"/>
        <w:autoSpaceDE w:val="0"/>
        <w:autoSpaceDN w:val="0"/>
        <w:adjustRightInd w:val="0"/>
        <w:rPr>
          <w:rFonts w:cs="Calibri"/>
          <w:lang w:val="en"/>
        </w:rPr>
      </w:pPr>
    </w:p>
    <w:p w14:paraId="311EB4FC" w14:textId="77777777" w:rsidR="00631EAE" w:rsidRPr="0021464B" w:rsidRDefault="00631EAE">
      <w:pPr>
        <w:rPr>
          <w:b/>
        </w:rPr>
      </w:pPr>
    </w:p>
    <w:sectPr w:rsidR="00631EAE" w:rsidRPr="0021464B" w:rsidSect="000E5BB9">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851ED" w14:textId="77777777" w:rsidR="000901BA" w:rsidRDefault="000901BA" w:rsidP="002B154C">
      <w:pPr>
        <w:spacing w:after="0" w:line="240" w:lineRule="auto"/>
      </w:pPr>
      <w:r>
        <w:separator/>
      </w:r>
    </w:p>
  </w:endnote>
  <w:endnote w:type="continuationSeparator" w:id="0">
    <w:p w14:paraId="10544D10" w14:textId="77777777" w:rsidR="000901BA" w:rsidRDefault="000901BA" w:rsidP="002B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Palatino Linotype">
    <w:panose1 w:val="02040502050505030304"/>
    <w:charset w:val="00"/>
    <w:family w:val="auto"/>
    <w:pitch w:val="variable"/>
    <w:sig w:usb0="E0000287" w:usb1="40000013"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4A3C9" w14:textId="77777777" w:rsidR="000901BA" w:rsidRDefault="000901BA">
    <w:pPr>
      <w:pStyle w:val="Footer"/>
    </w:pPr>
    <w:r>
      <w:t>Mahara ePortfolio</w:t>
    </w:r>
    <w:r>
      <w:ptab w:relativeTo="margin" w:alignment="center" w:leader="none"/>
    </w:r>
    <w:r>
      <w:fldChar w:fldCharType="begin"/>
    </w:r>
    <w:r>
      <w:instrText xml:space="preserve"> PAGE   \* MERGEFORMAT </w:instrText>
    </w:r>
    <w:r>
      <w:fldChar w:fldCharType="separate"/>
    </w:r>
    <w:r w:rsidR="00692638">
      <w:rPr>
        <w:noProof/>
      </w:rPr>
      <w:t>10</w:t>
    </w:r>
    <w:r>
      <w:rPr>
        <w:noProof/>
      </w:rPr>
      <w:fldChar w:fldCharType="end"/>
    </w:r>
    <w:r>
      <w:ptab w:relativeTo="margin" w:alignment="right" w:leader="none"/>
    </w:r>
    <w:r>
      <w:fldChar w:fldCharType="begin"/>
    </w:r>
    <w:r>
      <w:instrText xml:space="preserve"> DATE \@ "d/MM/yyyy" </w:instrText>
    </w:r>
    <w:r>
      <w:fldChar w:fldCharType="separate"/>
    </w:r>
    <w:r w:rsidR="00180FB4">
      <w:rPr>
        <w:noProof/>
      </w:rPr>
      <w:t>25/02/2011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20716" w14:textId="77777777" w:rsidR="000901BA" w:rsidRDefault="000901BA" w:rsidP="002B154C">
      <w:pPr>
        <w:spacing w:after="0" w:line="240" w:lineRule="auto"/>
      </w:pPr>
      <w:r>
        <w:separator/>
      </w:r>
    </w:p>
  </w:footnote>
  <w:footnote w:type="continuationSeparator" w:id="0">
    <w:p w14:paraId="75C22A4B" w14:textId="77777777" w:rsidR="000901BA" w:rsidRDefault="000901BA" w:rsidP="002B154C">
      <w:pPr>
        <w:spacing w:after="0" w:line="240" w:lineRule="auto"/>
      </w:pPr>
      <w:r>
        <w:continuationSeparator/>
      </w:r>
    </w:p>
  </w:footnote>
  <w:footnote w:id="1">
    <w:p w14:paraId="177F1A91" w14:textId="3A06EDCA" w:rsidR="00180FB4" w:rsidRPr="00180FB4" w:rsidRDefault="00180FB4">
      <w:pPr>
        <w:pStyle w:val="FootnoteText"/>
        <w:rPr>
          <w:lang w:val="en-US"/>
        </w:rPr>
      </w:pPr>
      <w:r>
        <w:rPr>
          <w:rStyle w:val="FootnoteReference"/>
        </w:rPr>
        <w:footnoteRef/>
      </w:r>
      <w:r>
        <w:t xml:space="preserve"> </w:t>
      </w:r>
      <w:r>
        <w:rPr>
          <w:lang w:val="en-US"/>
        </w:rPr>
        <w:t>See appendix 1</w:t>
      </w:r>
    </w:p>
  </w:footnote>
  <w:footnote w:id="2">
    <w:p w14:paraId="1DA73731" w14:textId="102BC865" w:rsidR="00180FB4" w:rsidRPr="00180FB4" w:rsidRDefault="00180FB4">
      <w:pPr>
        <w:pStyle w:val="FootnoteText"/>
        <w:rPr>
          <w:lang w:val="en-US"/>
        </w:rPr>
      </w:pPr>
      <w:r>
        <w:rPr>
          <w:rStyle w:val="FootnoteReference"/>
        </w:rPr>
        <w:footnoteRef/>
      </w:r>
      <w:r>
        <w:t xml:space="preserve"> </w:t>
      </w:r>
      <w:r>
        <w:rPr>
          <w:lang w:val="en-US"/>
        </w:rPr>
        <w:t>See appendix 1</w:t>
      </w:r>
    </w:p>
  </w:footnote>
  <w:footnote w:id="3">
    <w:p w14:paraId="35186AAB" w14:textId="4FB4EB26" w:rsidR="000901BA" w:rsidRPr="002E0369" w:rsidRDefault="000901BA">
      <w:pPr>
        <w:pStyle w:val="FootnoteText"/>
        <w:rPr>
          <w:lang w:val="en-US"/>
        </w:rPr>
      </w:pPr>
      <w:r>
        <w:rPr>
          <w:rStyle w:val="FootnoteReference"/>
        </w:rPr>
        <w:footnoteRef/>
      </w:r>
      <w:r>
        <w:t xml:space="preserve"> </w:t>
      </w:r>
      <w:r>
        <w:rPr>
          <w:lang w:val="en-US"/>
        </w:rPr>
        <w:t>See appendix 1</w:t>
      </w:r>
    </w:p>
  </w:footnote>
  <w:footnote w:id="4">
    <w:p w14:paraId="19896B19" w14:textId="7D0FFD94" w:rsidR="000901BA" w:rsidRPr="004F7216" w:rsidRDefault="000901BA">
      <w:pPr>
        <w:pStyle w:val="FootnoteText"/>
        <w:rPr>
          <w:lang w:val="en-US"/>
        </w:rPr>
      </w:pPr>
      <w:r>
        <w:rPr>
          <w:rStyle w:val="FootnoteReference"/>
        </w:rPr>
        <w:footnoteRef/>
      </w:r>
      <w:r>
        <w:t xml:space="preserve"> </w:t>
      </w:r>
      <w:r w:rsidR="00692638">
        <w:rPr>
          <w:lang w:val="en-US"/>
        </w:rPr>
        <w:t>See</w:t>
      </w:r>
      <w:r>
        <w:rPr>
          <w:lang w:val="en-US"/>
        </w:rPr>
        <w:t xml:space="preserve"> appendix 1</w:t>
      </w:r>
    </w:p>
  </w:footnote>
  <w:footnote w:id="5">
    <w:p w14:paraId="5F107C65" w14:textId="6EDEDDCA" w:rsidR="00180FB4" w:rsidRPr="00180FB4" w:rsidRDefault="00180FB4">
      <w:pPr>
        <w:pStyle w:val="FootnoteText"/>
        <w:rPr>
          <w:lang w:val="en-US"/>
        </w:rPr>
      </w:pPr>
      <w:r>
        <w:rPr>
          <w:rStyle w:val="FootnoteReference"/>
        </w:rPr>
        <w:footnoteRef/>
      </w:r>
      <w:r>
        <w:t xml:space="preserve"> </w:t>
      </w:r>
      <w:r w:rsidR="00692638">
        <w:rPr>
          <w:lang w:val="en-US"/>
        </w:rPr>
        <w:t>See</w:t>
      </w:r>
      <w:r>
        <w:rPr>
          <w:lang w:val="en-US"/>
        </w:rPr>
        <w:t xml:space="preserve"> appendix 1</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5ED8" w14:textId="77777777" w:rsidR="000901BA" w:rsidRDefault="000901BA">
    <w:pPr>
      <w:pStyle w:val="Header"/>
    </w:pPr>
    <w:r w:rsidRPr="00D9637A">
      <w:rPr>
        <w:b/>
      </w:rPr>
      <w:t>UniSA</w:t>
    </w:r>
    <w:r>
      <w:t xml:space="preserve"> </w:t>
    </w:r>
    <w:r>
      <w:rPr>
        <w:i/>
      </w:rPr>
      <w:t>(L</w:t>
    </w:r>
    <w:r w:rsidRPr="00D9637A">
      <w:rPr>
        <w:i/>
      </w:rPr>
      <w:t xml:space="preserve">earning &amp; Teaching Unit) </w:t>
    </w:r>
    <w:r>
      <w:ptab w:relativeTo="margin" w:alignment="center" w:leader="none"/>
    </w:r>
    <w:r>
      <w:ptab w:relativeTo="margin" w:alignment="right" w:leader="none"/>
    </w:r>
    <w:r>
      <w:t>learn</w:t>
    </w:r>
    <w:r w:rsidRPr="002B154C">
      <w:rPr>
        <w:b/>
      </w:rPr>
      <w:t>online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E002A"/>
    <w:multiLevelType w:val="hybridMultilevel"/>
    <w:tmpl w:val="0AF6C6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267930B2"/>
    <w:multiLevelType w:val="hybridMultilevel"/>
    <w:tmpl w:val="ACE672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2C7006A9"/>
    <w:multiLevelType w:val="hybridMultilevel"/>
    <w:tmpl w:val="66822A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336D28D9"/>
    <w:multiLevelType w:val="hybridMultilevel"/>
    <w:tmpl w:val="071AF4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9627A07"/>
    <w:multiLevelType w:val="hybridMultilevel"/>
    <w:tmpl w:val="6CE05B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56CE62FF"/>
    <w:multiLevelType w:val="hybridMultilevel"/>
    <w:tmpl w:val="39945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9392AEE"/>
    <w:multiLevelType w:val="hybridMultilevel"/>
    <w:tmpl w:val="3AA8A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53A2A25"/>
    <w:multiLevelType w:val="hybridMultilevel"/>
    <w:tmpl w:val="EE8C06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3670E08"/>
    <w:multiLevelType w:val="hybridMultilevel"/>
    <w:tmpl w:val="06F8A074"/>
    <w:lvl w:ilvl="0" w:tplc="710C5A3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6"/>
  </w:num>
  <w:num w:numId="2">
    <w:abstractNumId w:val="5"/>
  </w:num>
  <w:num w:numId="3">
    <w:abstractNumId w:val="1"/>
  </w:num>
  <w:num w:numId="4">
    <w:abstractNumId w:val="0"/>
  </w:num>
  <w:num w:numId="5">
    <w:abstractNumId w:val="7"/>
  </w:num>
  <w:num w:numId="6">
    <w:abstractNumId w:val="2"/>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AC6"/>
    <w:rsid w:val="00003908"/>
    <w:rsid w:val="00007855"/>
    <w:rsid w:val="00025540"/>
    <w:rsid w:val="000264D3"/>
    <w:rsid w:val="00030BDD"/>
    <w:rsid w:val="000337EA"/>
    <w:rsid w:val="00040DE0"/>
    <w:rsid w:val="00041564"/>
    <w:rsid w:val="00042454"/>
    <w:rsid w:val="000539DC"/>
    <w:rsid w:val="0007717C"/>
    <w:rsid w:val="0007799D"/>
    <w:rsid w:val="00085C63"/>
    <w:rsid w:val="000901BA"/>
    <w:rsid w:val="000927A0"/>
    <w:rsid w:val="000A0447"/>
    <w:rsid w:val="000A3900"/>
    <w:rsid w:val="000A7DD7"/>
    <w:rsid w:val="000C064A"/>
    <w:rsid w:val="000C3645"/>
    <w:rsid w:val="000C600C"/>
    <w:rsid w:val="000D736D"/>
    <w:rsid w:val="000E34C9"/>
    <w:rsid w:val="000E3F55"/>
    <w:rsid w:val="000E5BB9"/>
    <w:rsid w:val="000F2423"/>
    <w:rsid w:val="000F359E"/>
    <w:rsid w:val="000F492D"/>
    <w:rsid w:val="000F4BBF"/>
    <w:rsid w:val="00101364"/>
    <w:rsid w:val="00101B89"/>
    <w:rsid w:val="001139E8"/>
    <w:rsid w:val="001229FD"/>
    <w:rsid w:val="001245FE"/>
    <w:rsid w:val="00126616"/>
    <w:rsid w:val="00147728"/>
    <w:rsid w:val="0014776D"/>
    <w:rsid w:val="00151CD6"/>
    <w:rsid w:val="001620C6"/>
    <w:rsid w:val="00177358"/>
    <w:rsid w:val="00177907"/>
    <w:rsid w:val="00180FB4"/>
    <w:rsid w:val="00184160"/>
    <w:rsid w:val="001908CC"/>
    <w:rsid w:val="001A45C3"/>
    <w:rsid w:val="001A619E"/>
    <w:rsid w:val="001B27E1"/>
    <w:rsid w:val="001C13F7"/>
    <w:rsid w:val="001C41CF"/>
    <w:rsid w:val="001E0823"/>
    <w:rsid w:val="001E2F5E"/>
    <w:rsid w:val="001E6BD6"/>
    <w:rsid w:val="001F73ED"/>
    <w:rsid w:val="001F7491"/>
    <w:rsid w:val="001F7912"/>
    <w:rsid w:val="00200F30"/>
    <w:rsid w:val="00210BB7"/>
    <w:rsid w:val="0021464B"/>
    <w:rsid w:val="002366AB"/>
    <w:rsid w:val="00241B5C"/>
    <w:rsid w:val="0024360B"/>
    <w:rsid w:val="00243DE6"/>
    <w:rsid w:val="00250DA1"/>
    <w:rsid w:val="002652FE"/>
    <w:rsid w:val="0027142E"/>
    <w:rsid w:val="00273176"/>
    <w:rsid w:val="002777A8"/>
    <w:rsid w:val="002A43C9"/>
    <w:rsid w:val="002A68C6"/>
    <w:rsid w:val="002B154C"/>
    <w:rsid w:val="002B1C2D"/>
    <w:rsid w:val="002B5FB5"/>
    <w:rsid w:val="002E0369"/>
    <w:rsid w:val="002F2DDD"/>
    <w:rsid w:val="003057C0"/>
    <w:rsid w:val="00320B3A"/>
    <w:rsid w:val="00324F50"/>
    <w:rsid w:val="0033442E"/>
    <w:rsid w:val="003427C6"/>
    <w:rsid w:val="0035608F"/>
    <w:rsid w:val="00357926"/>
    <w:rsid w:val="00367076"/>
    <w:rsid w:val="00372E28"/>
    <w:rsid w:val="003829C5"/>
    <w:rsid w:val="003832D5"/>
    <w:rsid w:val="00393AB5"/>
    <w:rsid w:val="003A252F"/>
    <w:rsid w:val="003B1647"/>
    <w:rsid w:val="003B2A84"/>
    <w:rsid w:val="003B3713"/>
    <w:rsid w:val="003B5578"/>
    <w:rsid w:val="003C17D1"/>
    <w:rsid w:val="003C5F4B"/>
    <w:rsid w:val="003D202A"/>
    <w:rsid w:val="003E1304"/>
    <w:rsid w:val="003F3D8A"/>
    <w:rsid w:val="003F4F56"/>
    <w:rsid w:val="00416AE3"/>
    <w:rsid w:val="00421562"/>
    <w:rsid w:val="00430473"/>
    <w:rsid w:val="00432F33"/>
    <w:rsid w:val="004379AE"/>
    <w:rsid w:val="00450EB5"/>
    <w:rsid w:val="004512EA"/>
    <w:rsid w:val="004658D5"/>
    <w:rsid w:val="004675B5"/>
    <w:rsid w:val="00471C4E"/>
    <w:rsid w:val="00473095"/>
    <w:rsid w:val="004768E3"/>
    <w:rsid w:val="00476FC7"/>
    <w:rsid w:val="004A1AC3"/>
    <w:rsid w:val="004A5640"/>
    <w:rsid w:val="004B2D58"/>
    <w:rsid w:val="004B3B46"/>
    <w:rsid w:val="004B678F"/>
    <w:rsid w:val="004C6BAF"/>
    <w:rsid w:val="004E3D5A"/>
    <w:rsid w:val="004F7216"/>
    <w:rsid w:val="0050136F"/>
    <w:rsid w:val="0054408F"/>
    <w:rsid w:val="00547699"/>
    <w:rsid w:val="00560ED8"/>
    <w:rsid w:val="00561C75"/>
    <w:rsid w:val="005648C7"/>
    <w:rsid w:val="00567ADC"/>
    <w:rsid w:val="005745D8"/>
    <w:rsid w:val="00585FFA"/>
    <w:rsid w:val="00592242"/>
    <w:rsid w:val="005B1646"/>
    <w:rsid w:val="005C0AE4"/>
    <w:rsid w:val="005E0743"/>
    <w:rsid w:val="005F7FDF"/>
    <w:rsid w:val="00617F14"/>
    <w:rsid w:val="00631CCE"/>
    <w:rsid w:val="00631EAE"/>
    <w:rsid w:val="00632FF8"/>
    <w:rsid w:val="0065059D"/>
    <w:rsid w:val="00652537"/>
    <w:rsid w:val="00656ED9"/>
    <w:rsid w:val="0066402B"/>
    <w:rsid w:val="0067135E"/>
    <w:rsid w:val="006731E2"/>
    <w:rsid w:val="00683E3D"/>
    <w:rsid w:val="00692638"/>
    <w:rsid w:val="006A24B8"/>
    <w:rsid w:val="006A7E15"/>
    <w:rsid w:val="006B60F3"/>
    <w:rsid w:val="006C65C4"/>
    <w:rsid w:val="006C6ECB"/>
    <w:rsid w:val="006D0F86"/>
    <w:rsid w:val="006D5A08"/>
    <w:rsid w:val="006E0DC2"/>
    <w:rsid w:val="006E4186"/>
    <w:rsid w:val="006E4B45"/>
    <w:rsid w:val="006F45B9"/>
    <w:rsid w:val="007138F9"/>
    <w:rsid w:val="00716088"/>
    <w:rsid w:val="00723EF8"/>
    <w:rsid w:val="00726CE3"/>
    <w:rsid w:val="007324CE"/>
    <w:rsid w:val="00734371"/>
    <w:rsid w:val="00735387"/>
    <w:rsid w:val="007533F8"/>
    <w:rsid w:val="00761796"/>
    <w:rsid w:val="00763337"/>
    <w:rsid w:val="00766E2A"/>
    <w:rsid w:val="007735B6"/>
    <w:rsid w:val="007853A7"/>
    <w:rsid w:val="00793AAB"/>
    <w:rsid w:val="00794D05"/>
    <w:rsid w:val="007B11F1"/>
    <w:rsid w:val="007B526C"/>
    <w:rsid w:val="007C3F5E"/>
    <w:rsid w:val="007C744F"/>
    <w:rsid w:val="007D1851"/>
    <w:rsid w:val="007D443C"/>
    <w:rsid w:val="007D47F9"/>
    <w:rsid w:val="007E2E4E"/>
    <w:rsid w:val="007F2014"/>
    <w:rsid w:val="007F27E6"/>
    <w:rsid w:val="007F4024"/>
    <w:rsid w:val="007F571C"/>
    <w:rsid w:val="0080097C"/>
    <w:rsid w:val="00800AFD"/>
    <w:rsid w:val="008017BA"/>
    <w:rsid w:val="00812A97"/>
    <w:rsid w:val="00812CF7"/>
    <w:rsid w:val="00822D21"/>
    <w:rsid w:val="00834265"/>
    <w:rsid w:val="00835F36"/>
    <w:rsid w:val="008426DA"/>
    <w:rsid w:val="00842E61"/>
    <w:rsid w:val="008539A1"/>
    <w:rsid w:val="008621FF"/>
    <w:rsid w:val="00863887"/>
    <w:rsid w:val="0087240A"/>
    <w:rsid w:val="00882EC5"/>
    <w:rsid w:val="00884A77"/>
    <w:rsid w:val="008858C5"/>
    <w:rsid w:val="0088675C"/>
    <w:rsid w:val="008869CF"/>
    <w:rsid w:val="008B085D"/>
    <w:rsid w:val="008D40AE"/>
    <w:rsid w:val="008D56F4"/>
    <w:rsid w:val="008F159A"/>
    <w:rsid w:val="008F411E"/>
    <w:rsid w:val="00902EEE"/>
    <w:rsid w:val="0090317A"/>
    <w:rsid w:val="00914D3B"/>
    <w:rsid w:val="00916C19"/>
    <w:rsid w:val="00916DE9"/>
    <w:rsid w:val="009313A7"/>
    <w:rsid w:val="0094449D"/>
    <w:rsid w:val="009554E3"/>
    <w:rsid w:val="00955EB6"/>
    <w:rsid w:val="00956329"/>
    <w:rsid w:val="00963A72"/>
    <w:rsid w:val="009766C6"/>
    <w:rsid w:val="009965AA"/>
    <w:rsid w:val="009F3A29"/>
    <w:rsid w:val="00A05786"/>
    <w:rsid w:val="00A13543"/>
    <w:rsid w:val="00A23256"/>
    <w:rsid w:val="00A343CA"/>
    <w:rsid w:val="00A43A9F"/>
    <w:rsid w:val="00A4759C"/>
    <w:rsid w:val="00A6044B"/>
    <w:rsid w:val="00A639F1"/>
    <w:rsid w:val="00A66792"/>
    <w:rsid w:val="00A673A8"/>
    <w:rsid w:val="00A83DEF"/>
    <w:rsid w:val="00A90897"/>
    <w:rsid w:val="00A911D7"/>
    <w:rsid w:val="00A9224F"/>
    <w:rsid w:val="00AA1D46"/>
    <w:rsid w:val="00AA4294"/>
    <w:rsid w:val="00AB488E"/>
    <w:rsid w:val="00AC2D09"/>
    <w:rsid w:val="00AC63AF"/>
    <w:rsid w:val="00AC6A99"/>
    <w:rsid w:val="00AC6AA3"/>
    <w:rsid w:val="00AD4390"/>
    <w:rsid w:val="00AE7095"/>
    <w:rsid w:val="00AF3470"/>
    <w:rsid w:val="00AF38CF"/>
    <w:rsid w:val="00B02703"/>
    <w:rsid w:val="00B1348A"/>
    <w:rsid w:val="00B4009C"/>
    <w:rsid w:val="00B461C8"/>
    <w:rsid w:val="00B536AB"/>
    <w:rsid w:val="00B54E67"/>
    <w:rsid w:val="00B578FA"/>
    <w:rsid w:val="00B608DD"/>
    <w:rsid w:val="00B64CFC"/>
    <w:rsid w:val="00B72512"/>
    <w:rsid w:val="00B76D84"/>
    <w:rsid w:val="00B77442"/>
    <w:rsid w:val="00B82460"/>
    <w:rsid w:val="00B847E6"/>
    <w:rsid w:val="00B92D3F"/>
    <w:rsid w:val="00BA2D23"/>
    <w:rsid w:val="00BB2252"/>
    <w:rsid w:val="00BC38F1"/>
    <w:rsid w:val="00BF38CF"/>
    <w:rsid w:val="00BF45C4"/>
    <w:rsid w:val="00BF7579"/>
    <w:rsid w:val="00C113C7"/>
    <w:rsid w:val="00C250E6"/>
    <w:rsid w:val="00C2542D"/>
    <w:rsid w:val="00C31515"/>
    <w:rsid w:val="00C324AE"/>
    <w:rsid w:val="00C344C6"/>
    <w:rsid w:val="00C56005"/>
    <w:rsid w:val="00C609E7"/>
    <w:rsid w:val="00C75307"/>
    <w:rsid w:val="00C8365B"/>
    <w:rsid w:val="00C85649"/>
    <w:rsid w:val="00C87640"/>
    <w:rsid w:val="00CA500C"/>
    <w:rsid w:val="00CA6BAD"/>
    <w:rsid w:val="00CA7E40"/>
    <w:rsid w:val="00CA7F84"/>
    <w:rsid w:val="00CB1B28"/>
    <w:rsid w:val="00CC2765"/>
    <w:rsid w:val="00CE0641"/>
    <w:rsid w:val="00CE107F"/>
    <w:rsid w:val="00CE5D47"/>
    <w:rsid w:val="00D0786C"/>
    <w:rsid w:val="00D335F5"/>
    <w:rsid w:val="00D37EC2"/>
    <w:rsid w:val="00D421AC"/>
    <w:rsid w:val="00D44E26"/>
    <w:rsid w:val="00D55DD0"/>
    <w:rsid w:val="00D61FA6"/>
    <w:rsid w:val="00D6498E"/>
    <w:rsid w:val="00D82F21"/>
    <w:rsid w:val="00D83803"/>
    <w:rsid w:val="00D84921"/>
    <w:rsid w:val="00D90ABF"/>
    <w:rsid w:val="00D9637A"/>
    <w:rsid w:val="00DB1BA4"/>
    <w:rsid w:val="00DC171C"/>
    <w:rsid w:val="00DC35F2"/>
    <w:rsid w:val="00DD7301"/>
    <w:rsid w:val="00DE6DDB"/>
    <w:rsid w:val="00E03749"/>
    <w:rsid w:val="00E04A1C"/>
    <w:rsid w:val="00E45E7F"/>
    <w:rsid w:val="00E535C3"/>
    <w:rsid w:val="00E57540"/>
    <w:rsid w:val="00E6044D"/>
    <w:rsid w:val="00E663CF"/>
    <w:rsid w:val="00E702DF"/>
    <w:rsid w:val="00E85E0A"/>
    <w:rsid w:val="00EA0C62"/>
    <w:rsid w:val="00EB2435"/>
    <w:rsid w:val="00EB2A8F"/>
    <w:rsid w:val="00EC0E74"/>
    <w:rsid w:val="00EC73DF"/>
    <w:rsid w:val="00ED052A"/>
    <w:rsid w:val="00ED466A"/>
    <w:rsid w:val="00ED5FF9"/>
    <w:rsid w:val="00EF3160"/>
    <w:rsid w:val="00EF5B87"/>
    <w:rsid w:val="00F00263"/>
    <w:rsid w:val="00F26472"/>
    <w:rsid w:val="00F31367"/>
    <w:rsid w:val="00F34AC6"/>
    <w:rsid w:val="00F440B5"/>
    <w:rsid w:val="00F46621"/>
    <w:rsid w:val="00F469F5"/>
    <w:rsid w:val="00F54C33"/>
    <w:rsid w:val="00F54E40"/>
    <w:rsid w:val="00F60328"/>
    <w:rsid w:val="00F62D91"/>
    <w:rsid w:val="00F6439F"/>
    <w:rsid w:val="00F665F6"/>
    <w:rsid w:val="00F71EF7"/>
    <w:rsid w:val="00F80118"/>
    <w:rsid w:val="00F8300A"/>
    <w:rsid w:val="00F92E26"/>
    <w:rsid w:val="00F95FBC"/>
    <w:rsid w:val="00F97E70"/>
    <w:rsid w:val="00FA1EFC"/>
    <w:rsid w:val="00FA5E82"/>
    <w:rsid w:val="00FB18C1"/>
    <w:rsid w:val="00FB621A"/>
    <w:rsid w:val="00FC31C4"/>
    <w:rsid w:val="00FD3E05"/>
    <w:rsid w:val="00FD4965"/>
    <w:rsid w:val="00FF3773"/>
    <w:rsid w:val="00FF5220"/>
    <w:rsid w:val="00FF5F6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29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F6"/>
  </w:style>
  <w:style w:type="paragraph" w:styleId="Heading1">
    <w:name w:val="heading 1"/>
    <w:basedOn w:val="Normal"/>
    <w:next w:val="Normal"/>
    <w:link w:val="Heading1Char"/>
    <w:uiPriority w:val="9"/>
    <w:qFormat/>
    <w:rsid w:val="00902EEE"/>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Spacing"/>
    <w:next w:val="Normal"/>
    <w:link w:val="Heading2Char"/>
    <w:uiPriority w:val="9"/>
    <w:unhideWhenUsed/>
    <w:qFormat/>
    <w:rsid w:val="00902EEE"/>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3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0C62"/>
    <w:pPr>
      <w:ind w:left="720"/>
      <w:contextualSpacing/>
    </w:pPr>
  </w:style>
  <w:style w:type="paragraph" w:styleId="Header">
    <w:name w:val="header"/>
    <w:basedOn w:val="Normal"/>
    <w:link w:val="HeaderChar"/>
    <w:uiPriority w:val="99"/>
    <w:unhideWhenUsed/>
    <w:rsid w:val="002B1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54C"/>
  </w:style>
  <w:style w:type="paragraph" w:styleId="Footer">
    <w:name w:val="footer"/>
    <w:basedOn w:val="Normal"/>
    <w:link w:val="FooterChar"/>
    <w:uiPriority w:val="99"/>
    <w:unhideWhenUsed/>
    <w:rsid w:val="002B1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54C"/>
  </w:style>
  <w:style w:type="paragraph" w:styleId="BalloonText">
    <w:name w:val="Balloon Text"/>
    <w:basedOn w:val="Normal"/>
    <w:link w:val="BalloonTextChar"/>
    <w:uiPriority w:val="99"/>
    <w:semiHidden/>
    <w:unhideWhenUsed/>
    <w:rsid w:val="002B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54C"/>
    <w:rPr>
      <w:rFonts w:ascii="Tahoma" w:hAnsi="Tahoma" w:cs="Tahoma"/>
      <w:sz w:val="16"/>
      <w:szCs w:val="16"/>
    </w:rPr>
  </w:style>
  <w:style w:type="character" w:styleId="CommentReference">
    <w:name w:val="annotation reference"/>
    <w:basedOn w:val="DefaultParagraphFont"/>
    <w:uiPriority w:val="99"/>
    <w:semiHidden/>
    <w:unhideWhenUsed/>
    <w:rsid w:val="00372E28"/>
    <w:rPr>
      <w:sz w:val="16"/>
      <w:szCs w:val="16"/>
    </w:rPr>
  </w:style>
  <w:style w:type="paragraph" w:styleId="CommentText">
    <w:name w:val="annotation text"/>
    <w:basedOn w:val="Normal"/>
    <w:link w:val="CommentTextChar"/>
    <w:uiPriority w:val="99"/>
    <w:semiHidden/>
    <w:unhideWhenUsed/>
    <w:rsid w:val="00372E28"/>
    <w:pPr>
      <w:spacing w:line="240" w:lineRule="auto"/>
    </w:pPr>
    <w:rPr>
      <w:sz w:val="20"/>
      <w:szCs w:val="20"/>
    </w:rPr>
  </w:style>
  <w:style w:type="character" w:customStyle="1" w:styleId="CommentTextChar">
    <w:name w:val="Comment Text Char"/>
    <w:basedOn w:val="DefaultParagraphFont"/>
    <w:link w:val="CommentText"/>
    <w:uiPriority w:val="99"/>
    <w:semiHidden/>
    <w:rsid w:val="00372E28"/>
    <w:rPr>
      <w:sz w:val="20"/>
      <w:szCs w:val="20"/>
    </w:rPr>
  </w:style>
  <w:style w:type="paragraph" w:styleId="CommentSubject">
    <w:name w:val="annotation subject"/>
    <w:basedOn w:val="CommentText"/>
    <w:next w:val="CommentText"/>
    <w:link w:val="CommentSubjectChar"/>
    <w:uiPriority w:val="99"/>
    <w:semiHidden/>
    <w:unhideWhenUsed/>
    <w:rsid w:val="00372E28"/>
    <w:rPr>
      <w:b/>
      <w:bCs/>
    </w:rPr>
  </w:style>
  <w:style w:type="character" w:customStyle="1" w:styleId="CommentSubjectChar">
    <w:name w:val="Comment Subject Char"/>
    <w:basedOn w:val="CommentTextChar"/>
    <w:link w:val="CommentSubject"/>
    <w:uiPriority w:val="99"/>
    <w:semiHidden/>
    <w:rsid w:val="00372E28"/>
    <w:rPr>
      <w:b/>
      <w:bCs/>
      <w:sz w:val="20"/>
      <w:szCs w:val="20"/>
    </w:rPr>
  </w:style>
  <w:style w:type="paragraph" w:styleId="NoSpacing">
    <w:name w:val="No Spacing"/>
    <w:uiPriority w:val="1"/>
    <w:qFormat/>
    <w:rsid w:val="004A5640"/>
    <w:pPr>
      <w:spacing w:after="0" w:line="240" w:lineRule="auto"/>
    </w:pPr>
  </w:style>
  <w:style w:type="character" w:customStyle="1" w:styleId="Heading1Char">
    <w:name w:val="Heading 1 Char"/>
    <w:basedOn w:val="DefaultParagraphFont"/>
    <w:link w:val="Heading1"/>
    <w:uiPriority w:val="9"/>
    <w:rsid w:val="00902EEE"/>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902EEE"/>
    <w:rPr>
      <w:b/>
    </w:rPr>
  </w:style>
  <w:style w:type="paragraph" w:styleId="FootnoteText">
    <w:name w:val="footnote text"/>
    <w:basedOn w:val="Normal"/>
    <w:link w:val="FootnoteTextChar"/>
    <w:uiPriority w:val="99"/>
    <w:unhideWhenUsed/>
    <w:rsid w:val="002E0369"/>
    <w:pPr>
      <w:spacing w:after="0" w:line="240" w:lineRule="auto"/>
    </w:pPr>
    <w:rPr>
      <w:sz w:val="24"/>
      <w:szCs w:val="24"/>
    </w:rPr>
  </w:style>
  <w:style w:type="character" w:customStyle="1" w:styleId="FootnoteTextChar">
    <w:name w:val="Footnote Text Char"/>
    <w:basedOn w:val="DefaultParagraphFont"/>
    <w:link w:val="FootnoteText"/>
    <w:uiPriority w:val="99"/>
    <w:rsid w:val="002E0369"/>
    <w:rPr>
      <w:sz w:val="24"/>
      <w:szCs w:val="24"/>
    </w:rPr>
  </w:style>
  <w:style w:type="character" w:styleId="FootnoteReference">
    <w:name w:val="footnote reference"/>
    <w:basedOn w:val="DefaultParagraphFont"/>
    <w:uiPriority w:val="99"/>
    <w:unhideWhenUsed/>
    <w:rsid w:val="002E0369"/>
    <w:rPr>
      <w:vertAlign w:val="superscript"/>
    </w:rPr>
  </w:style>
  <w:style w:type="character" w:styleId="Hyperlink">
    <w:name w:val="Hyperlink"/>
    <w:basedOn w:val="DefaultParagraphFont"/>
    <w:uiPriority w:val="99"/>
    <w:unhideWhenUsed/>
    <w:rsid w:val="00FD3E05"/>
    <w:rPr>
      <w:color w:val="0000FF" w:themeColor="hyperlink"/>
      <w:u w:val="single"/>
    </w:rPr>
  </w:style>
  <w:style w:type="character" w:styleId="Strong">
    <w:name w:val="Strong"/>
    <w:basedOn w:val="DefaultParagraphFont"/>
    <w:uiPriority w:val="22"/>
    <w:qFormat/>
    <w:rsid w:val="0021464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F6"/>
  </w:style>
  <w:style w:type="paragraph" w:styleId="Heading1">
    <w:name w:val="heading 1"/>
    <w:basedOn w:val="Normal"/>
    <w:next w:val="Normal"/>
    <w:link w:val="Heading1Char"/>
    <w:uiPriority w:val="9"/>
    <w:qFormat/>
    <w:rsid w:val="00902EEE"/>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Spacing"/>
    <w:next w:val="Normal"/>
    <w:link w:val="Heading2Char"/>
    <w:uiPriority w:val="9"/>
    <w:unhideWhenUsed/>
    <w:qFormat/>
    <w:rsid w:val="00902EEE"/>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3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0C62"/>
    <w:pPr>
      <w:ind w:left="720"/>
      <w:contextualSpacing/>
    </w:pPr>
  </w:style>
  <w:style w:type="paragraph" w:styleId="Header">
    <w:name w:val="header"/>
    <w:basedOn w:val="Normal"/>
    <w:link w:val="HeaderChar"/>
    <w:uiPriority w:val="99"/>
    <w:unhideWhenUsed/>
    <w:rsid w:val="002B1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54C"/>
  </w:style>
  <w:style w:type="paragraph" w:styleId="Footer">
    <w:name w:val="footer"/>
    <w:basedOn w:val="Normal"/>
    <w:link w:val="FooterChar"/>
    <w:uiPriority w:val="99"/>
    <w:unhideWhenUsed/>
    <w:rsid w:val="002B1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54C"/>
  </w:style>
  <w:style w:type="paragraph" w:styleId="BalloonText">
    <w:name w:val="Balloon Text"/>
    <w:basedOn w:val="Normal"/>
    <w:link w:val="BalloonTextChar"/>
    <w:uiPriority w:val="99"/>
    <w:semiHidden/>
    <w:unhideWhenUsed/>
    <w:rsid w:val="002B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54C"/>
    <w:rPr>
      <w:rFonts w:ascii="Tahoma" w:hAnsi="Tahoma" w:cs="Tahoma"/>
      <w:sz w:val="16"/>
      <w:szCs w:val="16"/>
    </w:rPr>
  </w:style>
  <w:style w:type="character" w:styleId="CommentReference">
    <w:name w:val="annotation reference"/>
    <w:basedOn w:val="DefaultParagraphFont"/>
    <w:uiPriority w:val="99"/>
    <w:semiHidden/>
    <w:unhideWhenUsed/>
    <w:rsid w:val="00372E28"/>
    <w:rPr>
      <w:sz w:val="16"/>
      <w:szCs w:val="16"/>
    </w:rPr>
  </w:style>
  <w:style w:type="paragraph" w:styleId="CommentText">
    <w:name w:val="annotation text"/>
    <w:basedOn w:val="Normal"/>
    <w:link w:val="CommentTextChar"/>
    <w:uiPriority w:val="99"/>
    <w:semiHidden/>
    <w:unhideWhenUsed/>
    <w:rsid w:val="00372E28"/>
    <w:pPr>
      <w:spacing w:line="240" w:lineRule="auto"/>
    </w:pPr>
    <w:rPr>
      <w:sz w:val="20"/>
      <w:szCs w:val="20"/>
    </w:rPr>
  </w:style>
  <w:style w:type="character" w:customStyle="1" w:styleId="CommentTextChar">
    <w:name w:val="Comment Text Char"/>
    <w:basedOn w:val="DefaultParagraphFont"/>
    <w:link w:val="CommentText"/>
    <w:uiPriority w:val="99"/>
    <w:semiHidden/>
    <w:rsid w:val="00372E28"/>
    <w:rPr>
      <w:sz w:val="20"/>
      <w:szCs w:val="20"/>
    </w:rPr>
  </w:style>
  <w:style w:type="paragraph" w:styleId="CommentSubject">
    <w:name w:val="annotation subject"/>
    <w:basedOn w:val="CommentText"/>
    <w:next w:val="CommentText"/>
    <w:link w:val="CommentSubjectChar"/>
    <w:uiPriority w:val="99"/>
    <w:semiHidden/>
    <w:unhideWhenUsed/>
    <w:rsid w:val="00372E28"/>
    <w:rPr>
      <w:b/>
      <w:bCs/>
    </w:rPr>
  </w:style>
  <w:style w:type="character" w:customStyle="1" w:styleId="CommentSubjectChar">
    <w:name w:val="Comment Subject Char"/>
    <w:basedOn w:val="CommentTextChar"/>
    <w:link w:val="CommentSubject"/>
    <w:uiPriority w:val="99"/>
    <w:semiHidden/>
    <w:rsid w:val="00372E28"/>
    <w:rPr>
      <w:b/>
      <w:bCs/>
      <w:sz w:val="20"/>
      <w:szCs w:val="20"/>
    </w:rPr>
  </w:style>
  <w:style w:type="paragraph" w:styleId="NoSpacing">
    <w:name w:val="No Spacing"/>
    <w:uiPriority w:val="1"/>
    <w:qFormat/>
    <w:rsid w:val="004A5640"/>
    <w:pPr>
      <w:spacing w:after="0" w:line="240" w:lineRule="auto"/>
    </w:pPr>
  </w:style>
  <w:style w:type="character" w:customStyle="1" w:styleId="Heading1Char">
    <w:name w:val="Heading 1 Char"/>
    <w:basedOn w:val="DefaultParagraphFont"/>
    <w:link w:val="Heading1"/>
    <w:uiPriority w:val="9"/>
    <w:rsid w:val="00902EEE"/>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902EEE"/>
    <w:rPr>
      <w:b/>
    </w:rPr>
  </w:style>
  <w:style w:type="paragraph" w:styleId="FootnoteText">
    <w:name w:val="footnote text"/>
    <w:basedOn w:val="Normal"/>
    <w:link w:val="FootnoteTextChar"/>
    <w:uiPriority w:val="99"/>
    <w:unhideWhenUsed/>
    <w:rsid w:val="002E0369"/>
    <w:pPr>
      <w:spacing w:after="0" w:line="240" w:lineRule="auto"/>
    </w:pPr>
    <w:rPr>
      <w:sz w:val="24"/>
      <w:szCs w:val="24"/>
    </w:rPr>
  </w:style>
  <w:style w:type="character" w:customStyle="1" w:styleId="FootnoteTextChar">
    <w:name w:val="Footnote Text Char"/>
    <w:basedOn w:val="DefaultParagraphFont"/>
    <w:link w:val="FootnoteText"/>
    <w:uiPriority w:val="99"/>
    <w:rsid w:val="002E0369"/>
    <w:rPr>
      <w:sz w:val="24"/>
      <w:szCs w:val="24"/>
    </w:rPr>
  </w:style>
  <w:style w:type="character" w:styleId="FootnoteReference">
    <w:name w:val="footnote reference"/>
    <w:basedOn w:val="DefaultParagraphFont"/>
    <w:uiPriority w:val="99"/>
    <w:unhideWhenUsed/>
    <w:rsid w:val="002E0369"/>
    <w:rPr>
      <w:vertAlign w:val="superscript"/>
    </w:rPr>
  </w:style>
  <w:style w:type="character" w:styleId="Hyperlink">
    <w:name w:val="Hyperlink"/>
    <w:basedOn w:val="DefaultParagraphFont"/>
    <w:uiPriority w:val="99"/>
    <w:unhideWhenUsed/>
    <w:rsid w:val="00FD3E05"/>
    <w:rPr>
      <w:color w:val="0000FF" w:themeColor="hyperlink"/>
      <w:u w:val="single"/>
    </w:rPr>
  </w:style>
  <w:style w:type="character" w:styleId="Strong">
    <w:name w:val="Strong"/>
    <w:basedOn w:val="DefaultParagraphFont"/>
    <w:uiPriority w:val="22"/>
    <w:qFormat/>
    <w:rsid w:val="00214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electronicportfolios.com/balance/balance.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0C68B-1340-C74B-980F-15244B3C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2920</Words>
  <Characters>16646</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19527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dinmore</cp:lastModifiedBy>
  <cp:revision>55</cp:revision>
  <cp:lastPrinted>2011-02-25T03:21:00Z</cp:lastPrinted>
  <dcterms:created xsi:type="dcterms:W3CDTF">2011-02-25T00:39:00Z</dcterms:created>
  <dcterms:modified xsi:type="dcterms:W3CDTF">2011-02-25T03:35:00Z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-1104496403</vt:i4>
  </property>
</Properties>
</file>